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rPr>
          <w:rFonts w:ascii="Times New Roman" w:cs="Times New Roman" w:eastAsia="Times New Roman" w:hAnsi="Times New Roman"/>
          <w:i w:val="1"/>
          <w:iCs w:val="1"/>
          <w:sz w:val="28"/>
          <w:szCs w:val="28"/>
        </w:rPr>
      </w:pPr>
      <w:bookmarkStart w:colFirst="0" w:colLast="0" w:name="_heading=h.1k1pq2s7cbev" w:id="0"/>
      <w:bookmarkEnd w:id="0"/>
      <w:r w:rsidDel="00000000" w:rsidR="00000000" w:rsidRPr="00000000">
        <w:rPr>
          <w:rFonts w:ascii="Times New Roman" w:cs="Times New Roman" w:eastAsia="Times New Roman" w:hAnsi="Times New Roman"/>
          <w:b w:val="1"/>
          <w:bCs w:val="1"/>
          <w:i w:val="1"/>
          <w:iCs w:val="1"/>
          <w:sz w:val="28"/>
          <w:szCs w:val="28"/>
          <w:rtl w:val="0"/>
        </w:rPr>
        <w:t xml:space="preserve">А.В. Юрканский</w:t>
      </w:r>
      <w:r w:rsidDel="00000000" w:rsidR="00000000" w:rsidRPr="00000000">
        <w:rPr>
          <w:rFonts w:ascii="Times New Roman" w:cs="Times New Roman" w:eastAsia="Times New Roman" w:hAnsi="Times New Roman"/>
          <w:i w:val="1"/>
          <w:iCs w:val="1"/>
          <w:sz w:val="28"/>
          <w:szCs w:val="28"/>
          <w:rtl w:val="0"/>
        </w:rPr>
        <w:t xml:space="preserve">, д-р техн. наук, начальник сектора, </w:t>
      </w:r>
    </w:p>
    <w:p w:rsidR="00000000" w:rsidDel="00000000" w:rsidP="00000000" w:rsidRDefault="00000000" w:rsidRPr="00000000" w14:paraId="00000002">
      <w:pPr>
        <w:spacing w:after="0" w:line="240" w:lineRule="auto"/>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Е.Н. Ледовская</w:t>
      </w:r>
      <w:r w:rsidDel="00000000" w:rsidR="00000000" w:rsidRPr="00000000">
        <w:rPr>
          <w:rFonts w:ascii="Times New Roman" w:cs="Times New Roman" w:eastAsia="Times New Roman" w:hAnsi="Times New Roman"/>
          <w:i w:val="1"/>
          <w:iCs w:val="1"/>
          <w:sz w:val="28"/>
          <w:szCs w:val="28"/>
          <w:rtl w:val="0"/>
        </w:rPr>
        <w:t xml:space="preserve">, вед. инженер,</w:t>
      </w:r>
    </w:p>
    <w:p w:rsidR="00000000" w:rsidDel="00000000" w:rsidP="00000000" w:rsidRDefault="00000000" w:rsidRPr="00000000" w14:paraId="00000003">
      <w:pPr>
        <w:spacing w:after="0" w:line="240" w:lineRule="auto"/>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О.В. Цыпина</w:t>
      </w:r>
      <w:r w:rsidDel="00000000" w:rsidR="00000000" w:rsidRPr="00000000">
        <w:rPr>
          <w:rFonts w:ascii="Times New Roman" w:cs="Times New Roman" w:eastAsia="Times New Roman" w:hAnsi="Times New Roman"/>
          <w:i w:val="1"/>
          <w:iCs w:val="1"/>
          <w:sz w:val="28"/>
          <w:szCs w:val="28"/>
          <w:rtl w:val="0"/>
        </w:rPr>
        <w:t xml:space="preserve">, конструктор 2-й категории, </w:t>
      </w:r>
    </w:p>
    <w:p w:rsidR="00000000" w:rsidDel="00000000" w:rsidP="00000000" w:rsidRDefault="00000000" w:rsidRPr="00000000" w14:paraId="00000004">
      <w:pPr>
        <w:spacing w:after="0" w:line="240" w:lineRule="auto"/>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М.А. Титов</w:t>
      </w:r>
      <w:r w:rsidDel="00000000" w:rsidR="00000000" w:rsidRPr="00000000">
        <w:rPr>
          <w:rFonts w:ascii="Times New Roman" w:cs="Times New Roman" w:eastAsia="Times New Roman" w:hAnsi="Times New Roman"/>
          <w:i w:val="1"/>
          <w:iCs w:val="1"/>
          <w:sz w:val="28"/>
          <w:szCs w:val="28"/>
          <w:rtl w:val="0"/>
        </w:rPr>
        <w:t xml:space="preserve">, вед. инженер, </w:t>
      </w:r>
    </w:p>
    <w:p w:rsidR="00000000" w:rsidDel="00000000" w:rsidP="00000000" w:rsidRDefault="00000000" w:rsidRPr="00000000" w14:paraId="00000005">
      <w:pPr>
        <w:spacing w:after="0" w:line="240" w:lineRule="auto"/>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АО «ЦКБ МТ «Рубин»,</w:t>
      </w:r>
    </w:p>
    <w:p w:rsidR="00000000" w:rsidDel="00000000" w:rsidP="00000000" w:rsidRDefault="00000000" w:rsidRPr="00000000" w14:paraId="00000006">
      <w:pPr>
        <w:spacing w:after="0" w:line="240" w:lineRule="auto"/>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контакт. тел. (812) 494 1777, (812) 494 1830</w:t>
      </w:r>
    </w:p>
    <w:p w:rsidR="00000000" w:rsidDel="00000000" w:rsidP="00000000" w:rsidRDefault="00000000" w:rsidRPr="00000000" w14:paraId="00000007">
      <w:pPr>
        <w:ind w:firstLine="851"/>
        <w:jc w:val="center"/>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00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УДК 629.584</w:t>
      </w:r>
    </w:p>
    <w:p w:rsidR="00000000" w:rsidDel="00000000" w:rsidP="00000000" w:rsidRDefault="00000000" w:rsidRPr="00000000" w14:paraId="0000000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  Ключевые слова: </w:t>
      </w:r>
      <w:r w:rsidDel="00000000" w:rsidR="00000000" w:rsidRPr="00000000">
        <w:rPr>
          <w:rFonts w:ascii="Times New Roman" w:cs="Times New Roman" w:eastAsia="Times New Roman" w:hAnsi="Times New Roman"/>
          <w:sz w:val="28"/>
          <w:szCs w:val="28"/>
          <w:rtl w:val="0"/>
        </w:rPr>
        <w:t xml:space="preserve">судовой руль, зазор между рулем и корпусом, удлинение руля, подъемная сила на руле, управляемость судов и подводных аппаратов</w:t>
      </w:r>
    </w:p>
    <w:p w:rsidR="00000000" w:rsidDel="00000000" w:rsidP="00000000" w:rsidRDefault="00000000" w:rsidRPr="00000000" w14:paraId="0000000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Рассмотрено влияние зазора между рулем и корпусом судна (подводного аппарата) на подъемную силу, возникающую на руле. Разработана и представлена универсальная аналитическая формула, позволяющая учитывать изменение подъемной силы на руле в зависимости от его удлинения и величины зазора между рулем и корпусом судна. Ил. 12. Библиогр. 5 назв.</w:t>
      </w:r>
    </w:p>
    <w:p w:rsidR="00000000" w:rsidDel="00000000" w:rsidP="00000000" w:rsidRDefault="00000000" w:rsidRPr="00000000" w14:paraId="0000000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C">
      <w:pPr>
        <w:spacing w:after="0" w:line="240" w:lineRule="auto"/>
        <w:ind w:firstLine="851"/>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Рубрика: Проектирование и конструкция судов</w:t>
      </w:r>
    </w:p>
    <w:p w:rsidR="00000000" w:rsidDel="00000000" w:rsidP="00000000" w:rsidRDefault="00000000" w:rsidRPr="00000000" w14:paraId="0000000D">
      <w:pPr>
        <w:ind w:firstLine="851"/>
        <w:jc w:val="center"/>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00E">
      <w:pPr>
        <w:ind w:firstLine="851"/>
        <w:jc w:val="center"/>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00F">
      <w:pPr>
        <w:ind w:firstLine="851"/>
        <w:jc w:val="center"/>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010">
      <w:pPr>
        <w:ind w:firstLine="851"/>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Влияние зазора между корпусом и рулем на подъемную силу, возникающую на руле</w:t>
      </w:r>
    </w:p>
    <w:p w:rsidR="00000000" w:rsidDel="00000000" w:rsidP="00000000" w:rsidRDefault="00000000" w:rsidRPr="00000000" w14:paraId="00000011">
      <w:pPr>
        <w:spacing w:after="0" w:line="24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Самым распространенным органом управления надводными судами и подводными аппаратами являются судовые рули. На надводных судах рули используются для управления по курсу, умерения крена на циркуляции, а также  снижения параметров бортовой качки при действии морского волнения. Пример расположения таких бортовых рулей на корпусе надводного судна для умерения крена показан на рис. 1.</w:t>
      </w:r>
    </w:p>
    <w:p w:rsidR="00000000" w:rsidDel="00000000" w:rsidP="00000000" w:rsidRDefault="00000000" w:rsidRPr="00000000" w14:paraId="00000012">
      <w:pPr>
        <w:ind w:firstLine="851"/>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sz w:val="28"/>
          <w:szCs w:val="28"/>
        </w:rPr>
      </w:pPr>
      <w:r w:rsidDel="00000000" w:rsidR="00000000" w:rsidRPr="00000000">
        <w:rPr/>
        <w:drawing>
          <wp:inline distB="0" distT="0" distL="0" distR="0">
            <wp:extent cx="4068000" cy="3114000"/>
            <wp:effectExtent b="0" l="0" r="0" t="0"/>
            <wp:docPr id="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4068000" cy="31140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0" w:lineRule="auto"/>
        <w:ind w:firstLine="851"/>
        <w:jc w:val="center"/>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Рис. 1. </w:t>
      </w:r>
      <w:r w:rsidDel="00000000" w:rsidR="00000000" w:rsidRPr="00000000">
        <w:rPr>
          <w:rFonts w:ascii="Times New Roman" w:cs="Times New Roman" w:eastAsia="Times New Roman" w:hAnsi="Times New Roman"/>
          <w:b w:val="1"/>
          <w:bCs w:val="1"/>
          <w:i w:val="1"/>
          <w:iCs w:val="1"/>
          <w:sz w:val="28"/>
          <w:szCs w:val="28"/>
          <w:rtl w:val="0"/>
        </w:rPr>
        <w:t xml:space="preserve">Пример расположения бортовых рулей для умерения крена</w:t>
      </w:r>
      <w:r w:rsidDel="00000000" w:rsidR="00000000" w:rsidRPr="00000000">
        <w:rPr>
          <w:rtl w:val="0"/>
        </w:rPr>
      </w:r>
    </w:p>
    <w:p w:rsidR="00000000" w:rsidDel="00000000" w:rsidP="00000000" w:rsidRDefault="00000000" w:rsidRPr="00000000" w14:paraId="00000015">
      <w:pPr>
        <w:spacing w:after="0" w:lineRule="auto"/>
        <w:ind w:firstLine="851"/>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6">
      <w:pPr>
        <w:spacing w:after="0" w:line="24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подводных аппаратах рули осуществляют управление не только по курсу, но и по глубине и дифференту. Примеры расположения рулей на подводных аппаратах показаны на рис. 2 и рис.3.</w:t>
      </w:r>
    </w:p>
    <w:p w:rsidR="00000000" w:rsidDel="00000000" w:rsidP="00000000" w:rsidRDefault="00000000" w:rsidRPr="00000000" w14:paraId="00000017">
      <w:pPr>
        <w:spacing w:line="24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Естественно, при проектировании морских объектов главная задача – проектирование максимально эффективного руля. Для повышения его эффективности традиционно применяют такие методы, как увеличение его площади и удлинения, а также используют рули с профилем повышенной эффективности, например, типа Schilling вместо NACA или установка разрезных рулей, например, с закрылком типа Bесker (рис. 4). На повышение эффективности влияет также установка на руль торцевых шайб (см. рис. 3) или расположение руля в зоне струи, отбрасываемой маршевым движителем. Так, на рис. 5 показан судовой руль,  который расположен за гребным винтом и имеет профиль типа Schilling и торцевые шайбы.</w:t>
      </w:r>
    </w:p>
    <w:p w:rsidR="00000000" w:rsidDel="00000000" w:rsidP="00000000" w:rsidRDefault="00000000" w:rsidRPr="00000000" w14:paraId="0000001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jc w:val="center"/>
        <w:rPr>
          <w:rFonts w:ascii="Times New Roman" w:cs="Times New Roman" w:eastAsia="Times New Roman" w:hAnsi="Times New Roman"/>
          <w:sz w:val="28"/>
          <w:szCs w:val="28"/>
        </w:rPr>
      </w:pPr>
      <w:r w:rsidDel="00000000" w:rsidR="00000000" w:rsidRPr="00000000">
        <w:rPr/>
        <w:drawing>
          <wp:inline distB="0" distT="0" distL="0" distR="0">
            <wp:extent cx="4363200" cy="3762000"/>
            <wp:effectExtent b="0" l="0" r="0" t="0"/>
            <wp:docPr id="7" name="image3.png"/>
            <a:graphic>
              <a:graphicData uri="http://schemas.openxmlformats.org/drawingml/2006/picture">
                <pic:pic>
                  <pic:nvPicPr>
                    <pic:cNvPr id="0" name="image3.png"/>
                    <pic:cNvPicPr preferRelativeResize="0"/>
                  </pic:nvPicPr>
                  <pic:blipFill>
                    <a:blip r:embed="rId8"/>
                    <a:srcRect b="0" l="0" r="1039" t="0"/>
                    <a:stretch>
                      <a:fillRect/>
                    </a:stretch>
                  </pic:blipFill>
                  <pic:spPr>
                    <a:xfrm>
                      <a:off x="0" y="0"/>
                      <a:ext cx="4363200" cy="37620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line="240" w:lineRule="auto"/>
        <w:jc w:val="center"/>
        <w:rPr>
          <w:rFonts w:ascii="Times New Roman" w:cs="Times New Roman" w:eastAsia="Times New Roman" w:hAnsi="Times New Roman"/>
          <w:b w:val="1"/>
          <w:bCs w:val="1"/>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Рис. 2. </w:t>
      </w:r>
      <w:r w:rsidDel="00000000" w:rsidR="00000000" w:rsidRPr="00000000">
        <w:rPr>
          <w:rFonts w:ascii="Times New Roman" w:cs="Times New Roman" w:eastAsia="Times New Roman" w:hAnsi="Times New Roman"/>
          <w:b w:val="1"/>
          <w:bCs w:val="1"/>
          <w:i w:val="1"/>
          <w:iCs w:val="1"/>
          <w:sz w:val="28"/>
          <w:szCs w:val="28"/>
          <w:rtl w:val="0"/>
        </w:rPr>
        <w:t xml:space="preserve">АНПА (LDUUV-INP), разработанный Научно-исследовательским управлением ВМС США</w:t>
      </w:r>
    </w:p>
    <w:p w:rsidR="00000000" w:rsidDel="00000000" w:rsidP="00000000" w:rsidRDefault="00000000" w:rsidRPr="00000000" w14:paraId="0000001B">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6119495" cy="2988310"/>
            <wp:effectExtent b="0" l="0" r="0" t="0"/>
            <wp:docPr descr="D:\Users\Tsypina_O\Desktop\Зазор между корпусом и рулем\картинки\Снимок израиль.JPG" id="6" name="image1.jpg"/>
            <a:graphic>
              <a:graphicData uri="http://schemas.openxmlformats.org/drawingml/2006/picture">
                <pic:pic>
                  <pic:nvPicPr>
                    <pic:cNvPr descr="D:\Users\Tsypina_O\Desktop\Зазор между корпусом и рулем\картинки\Снимок израиль.JPG" id="0" name="image1.jpg"/>
                    <pic:cNvPicPr preferRelativeResize="0"/>
                  </pic:nvPicPr>
                  <pic:blipFill>
                    <a:blip r:embed="rId9"/>
                    <a:srcRect b="0" l="0" r="0" t="0"/>
                    <a:stretch>
                      <a:fillRect/>
                    </a:stretch>
                  </pic:blipFill>
                  <pic:spPr>
                    <a:xfrm>
                      <a:off x="0" y="0"/>
                      <a:ext cx="6119495" cy="298831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line="240" w:lineRule="auto"/>
        <w:ind w:firstLine="851"/>
        <w:jc w:val="center"/>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Рис. 3. </w:t>
      </w:r>
      <w:r w:rsidDel="00000000" w:rsidR="00000000" w:rsidRPr="00000000">
        <w:rPr>
          <w:rFonts w:ascii="Times New Roman" w:cs="Times New Roman" w:eastAsia="Times New Roman" w:hAnsi="Times New Roman"/>
          <w:b w:val="1"/>
          <w:bCs w:val="1"/>
          <w:i w:val="1"/>
          <w:iCs w:val="1"/>
          <w:sz w:val="28"/>
          <w:szCs w:val="28"/>
          <w:rtl w:val="0"/>
        </w:rPr>
        <w:t xml:space="preserve">АНПА ELI-3325 Blue Whale, разработанный компанией </w:t>
        <w:br w:type="textWrapping"/>
        <w:t xml:space="preserve">ELTA Systems (Израиль)</w:t>
      </w:r>
      <w:r w:rsidDel="00000000" w:rsidR="00000000" w:rsidRPr="00000000">
        <w:rPr>
          <w:rtl w:val="0"/>
        </w:rPr>
      </w:r>
    </w:p>
    <w:p w:rsidR="00000000" w:rsidDel="00000000" w:rsidP="00000000" w:rsidRDefault="00000000" w:rsidRPr="00000000" w14:paraId="0000001E">
      <w:pPr>
        <w:spacing w:after="0" w:line="24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Указанные выше методы повышения эффективности руля широко используются и достаточно хорошо изучены [2, 3], однако как-то незаслуженно мало внимания уделяется расположению руля относительно корпуса, а именно, зазору между торцом руля и корпусом. Наличие такого зазора хорошо видно на рис. 1 – 3.</w:t>
      </w:r>
    </w:p>
    <w:p w:rsidR="00000000" w:rsidDel="00000000" w:rsidP="00000000" w:rsidRDefault="00000000" w:rsidRPr="00000000" w14:paraId="0000001F">
      <w:pPr>
        <w:spacing w:after="0" w:line="24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целом ряде известных справочников и монографий [1, 3–5] эффект влияния корпуса на величину силы, возникающей на руле, подробно описан и приведены результаты отдельных модельных испытаний, показывающих это влияние. При расположении руля близко к корпусу сила, возникающая на нем, увеличивается. Это объясняется тем, что происходит эффект экранирующего действия корпуса судна, когда проявляется взаимное влияние корпуса судна и руля, которое выражается в увеличении индукционного сопротивления, препятствующего перетеканию жидкости (в области соприкосновения корпуса судна с торцом руля). </w:t>
      </w:r>
    </w:p>
    <w:p w:rsidR="00000000" w:rsidDel="00000000" w:rsidP="00000000" w:rsidRDefault="00000000" w:rsidRPr="00000000" w14:paraId="00000020">
      <w:pPr>
        <w:spacing w:after="0" w:line="240" w:lineRule="auto"/>
        <w:ind w:firstLine="851"/>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1">
      <w:pPr>
        <w:jc w:val="center"/>
        <w:rPr/>
      </w:pPr>
      <w:r w:rsidDel="00000000" w:rsidR="00000000" w:rsidRPr="00000000">
        <w:rPr/>
        <w:drawing>
          <wp:inline distB="0" distT="0" distL="0" distR="0">
            <wp:extent cx="3564000" cy="5094000"/>
            <wp:effectExtent b="0" l="0" r="0" t="0"/>
            <wp:docPr id="9"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3564000" cy="50940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3">
      <w:pPr>
        <w:jc w:val="center"/>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Рис. 4. </w:t>
      </w:r>
      <w:r w:rsidDel="00000000" w:rsidR="00000000" w:rsidRPr="00000000">
        <w:rPr>
          <w:rFonts w:ascii="Times New Roman" w:cs="Times New Roman" w:eastAsia="Times New Roman" w:hAnsi="Times New Roman"/>
          <w:b w:val="1"/>
          <w:bCs w:val="1"/>
          <w:i w:val="1"/>
          <w:iCs w:val="1"/>
          <w:sz w:val="28"/>
          <w:szCs w:val="28"/>
          <w:rtl w:val="0"/>
        </w:rPr>
        <w:t xml:space="preserve">Общий вид руля с закрылком типа Becker</w:t>
      </w:r>
      <w:r w:rsidDel="00000000" w:rsidR="00000000" w:rsidRPr="00000000">
        <w:rPr>
          <w:rtl w:val="0"/>
        </w:rPr>
      </w:r>
    </w:p>
    <w:p w:rsidR="00000000" w:rsidDel="00000000" w:rsidP="00000000" w:rsidRDefault="00000000" w:rsidRPr="00000000" w14:paraId="00000024">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5">
      <w:pPr>
        <w:jc w:val="center"/>
        <w:rPr>
          <w:rFonts w:ascii="Times New Roman" w:cs="Times New Roman" w:eastAsia="Times New Roman" w:hAnsi="Times New Roman"/>
          <w:sz w:val="28"/>
          <w:szCs w:val="28"/>
        </w:rPr>
      </w:pPr>
      <w:r w:rsidDel="00000000" w:rsidR="00000000" w:rsidRPr="00000000">
        <w:rPr/>
        <w:drawing>
          <wp:inline distB="0" distT="0" distL="0" distR="0">
            <wp:extent cx="4266000" cy="2602800"/>
            <wp:effectExtent b="0" l="0" r="0" t="0"/>
            <wp:docPr id="8" name="image2.png"/>
            <a:graphic>
              <a:graphicData uri="http://schemas.openxmlformats.org/drawingml/2006/picture">
                <pic:pic>
                  <pic:nvPicPr>
                    <pic:cNvPr id="0" name="image2.png"/>
                    <pic:cNvPicPr preferRelativeResize="0"/>
                  </pic:nvPicPr>
                  <pic:blipFill>
                    <a:blip r:embed="rId11"/>
                    <a:srcRect b="2542" l="0" r="0" t="1"/>
                    <a:stretch>
                      <a:fillRect/>
                    </a:stretch>
                  </pic:blipFill>
                  <pic:spPr>
                    <a:xfrm>
                      <a:off x="0" y="0"/>
                      <a:ext cx="4266000" cy="26028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2021878</wp:posOffset>
                </wp:positionH>
                <wp:positionV relativeFrom="paragraph">
                  <wp:posOffset>158263</wp:posOffset>
                </wp:positionV>
                <wp:extent cx="238125" cy="655205"/>
                <wp:effectExtent b="0" l="0" r="0" t="0"/>
                <wp:wrapNone/>
                <wp:docPr id="1" name=""/>
                <a:graphic>
                  <a:graphicData uri="http://schemas.microsoft.com/office/word/2010/wordprocessingShape">
                    <wps:wsp>
                      <wps:cNvCnPr/>
                      <wps:spPr>
                        <a:xfrm rot="10800000">
                          <a:off x="5242813" y="3468273"/>
                          <a:ext cx="206375" cy="623455"/>
                        </a:xfrm>
                        <a:prstGeom prst="straightConnector1">
                          <a:avLst/>
                        </a:prstGeom>
                        <a:noFill/>
                        <a:ln cap="flat" cmpd="sng" w="31750">
                          <a:solidFill>
                            <a:srgbClr val="FFFFFF"/>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2021878</wp:posOffset>
                </wp:positionH>
                <wp:positionV relativeFrom="paragraph">
                  <wp:posOffset>158263</wp:posOffset>
                </wp:positionV>
                <wp:extent cx="238125" cy="655205"/>
                <wp:effectExtent b="0" l="0" r="0" t="0"/>
                <wp:wrapNone/>
                <wp:docPr id="1"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238125" cy="6552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1958512</wp:posOffset>
                </wp:positionH>
                <wp:positionV relativeFrom="paragraph">
                  <wp:posOffset>1149177</wp:posOffset>
                </wp:positionV>
                <wp:extent cx="321252" cy="1167880"/>
                <wp:effectExtent b="0" l="0" r="0" t="0"/>
                <wp:wrapNone/>
                <wp:docPr id="4" name=""/>
                <a:graphic>
                  <a:graphicData uri="http://schemas.microsoft.com/office/word/2010/wordprocessingShape">
                    <wps:wsp>
                      <wps:cNvCnPr/>
                      <wps:spPr>
                        <a:xfrm flipH="1">
                          <a:off x="5201249" y="3211935"/>
                          <a:ext cx="289502" cy="1136130"/>
                        </a:xfrm>
                        <a:prstGeom prst="straightConnector1">
                          <a:avLst/>
                        </a:prstGeom>
                        <a:noFill/>
                        <a:ln cap="flat" cmpd="sng" w="31750">
                          <a:solidFill>
                            <a:srgbClr val="FFFFFF"/>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1958512</wp:posOffset>
                </wp:positionH>
                <wp:positionV relativeFrom="paragraph">
                  <wp:posOffset>1149177</wp:posOffset>
                </wp:positionV>
                <wp:extent cx="321252" cy="1167880"/>
                <wp:effectExtent b="0" l="0" r="0" t="0"/>
                <wp:wrapNone/>
                <wp:docPr id="4" name="image18.png"/>
                <a:graphic>
                  <a:graphicData uri="http://schemas.openxmlformats.org/drawingml/2006/picture">
                    <pic:pic>
                      <pic:nvPicPr>
                        <pic:cNvPr id="0" name="image18.png"/>
                        <pic:cNvPicPr preferRelativeResize="0"/>
                      </pic:nvPicPr>
                      <pic:blipFill>
                        <a:blip r:embed="rId12"/>
                        <a:srcRect/>
                        <a:stretch>
                          <a:fillRect/>
                        </a:stretch>
                      </pic:blipFill>
                      <pic:spPr>
                        <a:xfrm>
                          <a:off x="0" y="0"/>
                          <a:ext cx="321252" cy="11678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1594283</wp:posOffset>
                </wp:positionH>
                <wp:positionV relativeFrom="paragraph">
                  <wp:posOffset>750080</wp:posOffset>
                </wp:positionV>
                <wp:extent cx="798195" cy="418234"/>
                <wp:effectExtent b="0" l="0" r="0" t="0"/>
                <wp:wrapNone/>
                <wp:docPr id="2" name=""/>
                <a:graphic>
                  <a:graphicData uri="http://schemas.microsoft.com/office/word/2010/wordprocessingShape">
                    <wps:wsp>
                      <wps:cNvSpPr/>
                      <wps:cNvPr id="3" name="Shape 3"/>
                      <wps:spPr>
                        <a:xfrm>
                          <a:off x="4951665" y="3575646"/>
                          <a:ext cx="788670" cy="408709"/>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16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Торцевые шайбы</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1594283</wp:posOffset>
                </wp:positionH>
                <wp:positionV relativeFrom="paragraph">
                  <wp:posOffset>750080</wp:posOffset>
                </wp:positionV>
                <wp:extent cx="798195" cy="418234"/>
                <wp:effectExtent b="0" l="0" r="0" t="0"/>
                <wp:wrapNone/>
                <wp:docPr id="2" name="image16.png"/>
                <a:graphic>
                  <a:graphicData uri="http://schemas.openxmlformats.org/drawingml/2006/picture">
                    <pic:pic>
                      <pic:nvPicPr>
                        <pic:cNvPr id="0" name="image16.png"/>
                        <pic:cNvPicPr preferRelativeResize="0"/>
                      </pic:nvPicPr>
                      <pic:blipFill>
                        <a:blip r:embed="rId12"/>
                        <a:srcRect/>
                        <a:stretch>
                          <a:fillRect/>
                        </a:stretch>
                      </pic:blipFill>
                      <pic:spPr>
                        <a:xfrm>
                          <a:off x="0" y="0"/>
                          <a:ext cx="798195" cy="418234"/>
                        </a:xfrm>
                        <a:prstGeom prst="rect"/>
                        <a:ln/>
                      </pic:spPr>
                    </pic:pic>
                  </a:graphicData>
                </a:graphic>
              </wp:anchor>
            </w:drawing>
          </mc:Fallback>
        </mc:AlternateContent>
      </w:r>
    </w:p>
    <w:p w:rsidR="00000000" w:rsidDel="00000000" w:rsidP="00000000" w:rsidRDefault="00000000" w:rsidRPr="00000000" w14:paraId="00000026">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7">
      <w:pPr>
        <w:spacing w:after="0" w:line="240" w:lineRule="auto"/>
        <w:ind w:firstLine="851"/>
        <w:jc w:val="center"/>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Рис. 5. </w:t>
      </w:r>
      <w:r w:rsidDel="00000000" w:rsidR="00000000" w:rsidRPr="00000000">
        <w:rPr>
          <w:rFonts w:ascii="Times New Roman" w:cs="Times New Roman" w:eastAsia="Times New Roman" w:hAnsi="Times New Roman"/>
          <w:b w:val="1"/>
          <w:bCs w:val="1"/>
          <w:i w:val="1"/>
          <w:iCs w:val="1"/>
          <w:sz w:val="28"/>
          <w:szCs w:val="28"/>
          <w:rtl w:val="0"/>
        </w:rPr>
        <w:t xml:space="preserve">Судовой руль, который расположен за гребным винтом, имеет профиль типа Schilling и  торцевые шайбы </w:t>
      </w:r>
      <w:r w:rsidDel="00000000" w:rsidR="00000000" w:rsidRPr="00000000">
        <w:rPr>
          <w:rtl w:val="0"/>
        </w:rPr>
      </w:r>
    </w:p>
    <w:p w:rsidR="00000000" w:rsidDel="00000000" w:rsidP="00000000" w:rsidRDefault="00000000" w:rsidRPr="00000000" w14:paraId="00000028">
      <w:pPr>
        <w:spacing w:after="0" w:line="24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Величина зазора между корпусом и торцом руля оказывает заметное влияние на эффективность последнего, так как даже небольшое его увеличение (на 20 – 30 мм), которое на первый взгляд кажется незначительным, приводит к падению силы, возникающей на руле, до 10 %. Этот эффект подтверждается результатами испытаний в аэродинамической трубе [1]. А если учесть, что в ходе реального проектирования увеличение эффективности руля на 3 – 4% имеет значение (и не всегда это можно легко реализовать), то минимизация зазора становится важным моментом. Принимая во внимание тот факт, что проектирование конструкции руля без зазора не представляется возможным (необходимо исключить касание торца руля о корпус судна при его перекладке), следует стремиться к его минимизации.</w:t>
      </w:r>
    </w:p>
    <w:p w:rsidR="00000000" w:rsidDel="00000000" w:rsidP="00000000" w:rsidRDefault="00000000" w:rsidRPr="00000000" w14:paraId="00000029">
      <w:pPr>
        <w:spacing w:after="0" w:line="24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справочной литературе достаточно много формул и методик (различных авторов), которые позволяют расчетным способом учесть влияние традиционных (перечисленных выше) методов повышения эффективности рулей различного типа  [2, 3]. На сегодняшний день универсальные и систематизированные данные, которые учитывают влияние зазора между корпусом и рулем на силу, возникающую на нем, и которые можно было бы использовать при проектировании судов или подводных аппаратов, отсутствуют. Встречаются только отдельные разрозненные данные или общие теоретические рассуждения о качественном влиянии зазора [1, 3–5]. Кроме того, в работе [1] указано, что при одинаковом расстоянии (зазоре) между рулем и корпусом влияние последнего (стенки) оказывается близким для рулей разного удлинения – от 0,5 до 1,5. Далее  делается вывод, что сила, возникающая на руле, зависит только от величины зазора и практически не зависит от удлинения руля [1]. Такое утверждение представляется спорным и, как будет показано далее, некорректным. </w:t>
      </w:r>
    </w:p>
    <w:p w:rsidR="00000000" w:rsidDel="00000000" w:rsidP="00000000" w:rsidRDefault="00000000" w:rsidRPr="00000000" w14:paraId="0000002A">
      <w:pPr>
        <w:spacing w:after="0" w:line="24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Поэтому целью данной работы было предложить универсальную зависимость, позволяющую в ходе проектирования морских объектов учитывать влияние зазора между корпусом и рулем на его подъемную силу. Указанное влияние предлагается учитывать путем использования соответствующего коэффициента при расчете подъемной силы на руле. Таким образом, формула для определения значения подъемной силы на руле, расположенном вблизи корпуса судна, </w:t>
      </w:r>
      <w:r w:rsidDel="00000000" w:rsidR="00000000" w:rsidRPr="00000000">
        <w:rPr>
          <w:rFonts w:ascii="Times New Roman" w:cs="Times New Roman" w:eastAsia="Times New Roman" w:hAnsi="Times New Roman"/>
          <w:i w:val="1"/>
          <w:iCs w:val="1"/>
          <w:sz w:val="28"/>
          <w:szCs w:val="28"/>
          <w:rtl w:val="0"/>
        </w:rPr>
        <w:t xml:space="preserve">Fy</w:t>
      </w:r>
      <w:r w:rsidDel="00000000" w:rsidR="00000000" w:rsidRPr="00000000">
        <w:rPr>
          <w:rFonts w:ascii="Times New Roman" w:cs="Times New Roman" w:eastAsia="Times New Roman" w:hAnsi="Times New Roman"/>
          <w:sz w:val="28"/>
          <w:szCs w:val="28"/>
          <w:rtl w:val="0"/>
        </w:rPr>
        <w:t xml:space="preserve">, будет иметь вид</w:t>
      </w:r>
    </w:p>
    <w:tbl>
      <w:tblPr>
        <w:tblStyle w:val="Table1"/>
        <w:tblW w:w="9627.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926"/>
        <w:gridCol w:w="701"/>
        <w:tblGridChange w:id="0">
          <w:tblGrid>
            <w:gridCol w:w="8926"/>
            <w:gridCol w:w="701"/>
          </w:tblGrid>
        </w:tblGridChange>
      </w:tblGrid>
      <w:tr>
        <w:trPr>
          <w:cantSplit w:val="0"/>
          <w:trHeight w:val="841" w:hRule="atLeast"/>
          <w:tblHeader w:val="0"/>
        </w:trPr>
        <w:tc>
          <w:tcPr/>
          <w:p w:rsidR="00000000" w:rsidDel="00000000" w:rsidP="00000000" w:rsidRDefault="00000000" w:rsidRPr="00000000" w14:paraId="0000002B">
            <w:pPr>
              <w:jc w:val="center"/>
              <w:rPr>
                <w:rFonts w:ascii="Cambria Math" w:cs="Cambria Math" w:eastAsia="Cambria Math" w:hAnsi="Cambria Math"/>
                <w:sz w:val="28"/>
                <w:szCs w:val="28"/>
              </w:rPr>
            </w:pP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F</m:t>
                  </m:r>
                </m:e>
                <m:sub>
                  <m:r>
                    <w:rPr>
                      <w:rFonts w:ascii="Cambria Math" w:cs="Cambria Math" w:eastAsia="Cambria Math" w:hAnsi="Cambria Math"/>
                      <w:sz w:val="28"/>
                      <w:szCs w:val="28"/>
                    </w:rPr>
                    <m:t xml:space="preserve">y</m:t>
                  </m:r>
                </m:sub>
              </m:sSub>
              <m:r>
                <w:rPr>
                  <w:rFonts w:ascii="Cambria Math" w:cs="Cambria Math" w:eastAsia="Cambria Math" w:hAnsi="Cambria Math"/>
                  <w:sz w:val="28"/>
                  <w:szCs w:val="28"/>
                </w:rPr>
                <m:t xml:space="preserve">=</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C</m:t>
                  </m:r>
                </m:e>
                <m:sub>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y</m:t>
                      </m:r>
                    </m:e>
                    <m:sub>
                      <m:r>
                        <w:rPr>
                          <w:rFonts w:ascii="Cambria Math" w:cs="Cambria Math" w:eastAsia="Cambria Math" w:hAnsi="Cambria Math"/>
                          <w:sz w:val="28"/>
                          <w:szCs w:val="28"/>
                        </w:rPr>
                        <m:t>∞</m:t>
                      </m:r>
                    </m:sub>
                  </m:sSub>
                </m:sub>
              </m:sSub>
              <m:r>
                <w:rPr>
                  <w:rFonts w:ascii="Cambria Math" w:cs="Cambria Math" w:eastAsia="Cambria Math" w:hAnsi="Cambria Math"/>
                  <w:sz w:val="28"/>
                  <w:szCs w:val="28"/>
                </w:rPr>
                <m:t xml:space="preserve">∙k∙</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ρ∙</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υ</m:t>
                      </m:r>
                    </m:e>
                    <m:sup>
                      <m:r>
                        <w:rPr>
                          <w:rFonts w:ascii="Cambria Math" w:cs="Cambria Math" w:eastAsia="Cambria Math" w:hAnsi="Cambria Math"/>
                          <w:sz w:val="28"/>
                          <w:szCs w:val="28"/>
                        </w:rPr>
                        <m:t xml:space="preserve">2</m:t>
                      </m:r>
                    </m:sup>
                  </m:sSup>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∙S</m:t>
              </m:r>
            </m:oMath>
            <w:r w:rsidDel="00000000" w:rsidR="00000000" w:rsidRPr="00000000">
              <w:rPr>
                <w:rtl w:val="0"/>
              </w:rPr>
            </w:r>
          </w:p>
        </w:tc>
        <w:tc>
          <w:tcPr>
            <w:vAlign w:val="center"/>
          </w:tcPr>
          <w:p w:rsidR="00000000" w:rsidDel="00000000" w:rsidP="00000000" w:rsidRDefault="00000000" w:rsidRPr="00000000" w14:paraId="0000002C">
            <w:pPr>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r>
      <w:tr>
        <w:trPr>
          <w:cantSplit w:val="0"/>
          <w:trHeight w:val="841" w:hRule="atLeast"/>
          <w:tblHeader w:val="0"/>
        </w:trPr>
        <w:tc>
          <w:tcPr/>
          <w:p w:rsidR="00000000" w:rsidDel="00000000" w:rsidP="00000000" w:rsidRDefault="00000000" w:rsidRPr="00000000" w14:paraId="0000002D">
            <w:pPr>
              <w:jc w:val="center"/>
              <w:rPr>
                <w:rFonts w:ascii="Cambria Math" w:cs="Cambria Math" w:eastAsia="Cambria Math" w:hAnsi="Cambria Math"/>
                <w:sz w:val="28"/>
                <w:szCs w:val="28"/>
              </w:rPr>
            </w:pPr>
            <w:r w:rsidDel="00000000" w:rsidR="00000000" w:rsidRPr="00000000">
              <w:rPr>
                <w:rFonts w:ascii="Times New Roman" w:cs="Times New Roman" w:eastAsia="Times New Roman" w:hAnsi="Times New Roman"/>
                <w:sz w:val="28"/>
                <w:szCs w:val="28"/>
                <w:rtl w:val="0"/>
              </w:rPr>
              <w:t xml:space="preserve">при </w:t>
            </w:r>
            <m:oMath>
              <m:r>
                <w:rPr>
                  <w:rFonts w:ascii="Cambria Math" w:cs="Cambria Math" w:eastAsia="Cambria Math" w:hAnsi="Cambria Math"/>
                  <w:sz w:val="28"/>
                  <w:szCs w:val="28"/>
                </w:rPr>
                <m:t xml:space="preserve">k= </m:t>
              </m:r>
              <m:f>
                <m:fPr>
                  <m:ctrlPr>
                    <w:rPr>
                      <w:rFonts w:ascii="Cambria Math" w:cs="Cambria Math" w:eastAsia="Cambria Math" w:hAnsi="Cambria Math"/>
                      <w:sz w:val="28"/>
                      <w:szCs w:val="28"/>
                    </w:rPr>
                  </m:ctrlPr>
                </m:fPr>
                <m:num>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C</m:t>
                      </m:r>
                    </m:e>
                    <m:sub>
                      <m:r>
                        <w:rPr>
                          <w:rFonts w:ascii="Cambria Math" w:cs="Cambria Math" w:eastAsia="Cambria Math" w:hAnsi="Cambria Math"/>
                          <w:sz w:val="28"/>
                          <w:szCs w:val="28"/>
                        </w:rPr>
                        <m:t xml:space="preserve">y</m:t>
                      </m:r>
                    </m:sub>
                  </m:sSub>
                </m:num>
                <m:den>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C</m:t>
                      </m:r>
                    </m:e>
                    <m:sub>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y</m:t>
                          </m:r>
                        </m:e>
                        <m:sub>
                          <m:r>
                            <w:rPr>
                              <w:rFonts w:ascii="Cambria Math" w:cs="Cambria Math" w:eastAsia="Cambria Math" w:hAnsi="Cambria Math"/>
                              <w:sz w:val="28"/>
                              <w:szCs w:val="28"/>
                            </w:rPr>
                            <m:t>∞</m:t>
                          </m:r>
                        </m:sub>
                      </m:sSub>
                    </m:sub>
                  </m:sSub>
                </m:den>
              </m:f>
              <m:r>
                <w:rPr>
                  <w:rFonts w:ascii="Cambria Math" w:cs="Cambria Math" w:eastAsia="Cambria Math" w:hAnsi="Cambria Math"/>
                  <w:sz w:val="28"/>
                  <w:szCs w:val="28"/>
                </w:rPr>
                <m:t xml:space="preserve">= f</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 λ</m:t>
                  </m:r>
                </m:e>
              </m:d>
            </m:oMath>
            <w:r w:rsidDel="00000000" w:rsidR="00000000" w:rsidRPr="00000000">
              <w:rPr>
                <w:rFonts w:ascii="Cambria Math" w:cs="Cambria Math" w:eastAsia="Cambria Math" w:hAnsi="Cambria Math"/>
                <w:sz w:val="28"/>
                <w:szCs w:val="28"/>
                <w:rtl w:val="0"/>
              </w:rPr>
              <w:t xml:space="preserve">;</w:t>
            </w:r>
          </w:p>
        </w:tc>
        <w:tc>
          <w:tcPr>
            <w:vAlign w:val="center"/>
          </w:tcPr>
          <w:p w:rsidR="00000000" w:rsidDel="00000000" w:rsidP="00000000" w:rsidRDefault="00000000" w:rsidRPr="00000000" w14:paraId="0000002E">
            <w:pPr>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r>
      <w:tr>
        <w:trPr>
          <w:cantSplit w:val="0"/>
          <w:trHeight w:val="841" w:hRule="atLeast"/>
          <w:tblHeader w:val="0"/>
        </w:trPr>
        <w:tc>
          <w:tcPr/>
          <w:p w:rsidR="00000000" w:rsidDel="00000000" w:rsidP="00000000" w:rsidRDefault="00000000" w:rsidRPr="00000000" w14:paraId="0000002F">
            <w:pPr>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λ= </m:t>
              </m:r>
              <m:f>
                <m:fPr>
                  <m:ctrlPr>
                    <w:rPr>
                      <w:rFonts w:ascii="Cambria Math" w:cs="Cambria Math" w:eastAsia="Cambria Math" w:hAnsi="Cambria Math"/>
                      <w:sz w:val="28"/>
                      <w:szCs w:val="28"/>
                    </w:rPr>
                  </m:ctrlPr>
                </m:fPr>
                <m:num>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l</m:t>
                      </m:r>
                    </m:e>
                    <m:sup>
                      <m:r>
                        <w:rPr>
                          <w:rFonts w:ascii="Cambria Math" w:cs="Cambria Math" w:eastAsia="Cambria Math" w:hAnsi="Cambria Math"/>
                          <w:sz w:val="28"/>
                          <w:szCs w:val="28"/>
                        </w:rPr>
                        <m:t xml:space="preserve">2</m:t>
                      </m:r>
                    </m:sup>
                  </m:sSup>
                </m:num>
                <m:den>
                  <m:r>
                    <w:rPr>
                      <w:rFonts w:ascii="Cambria Math" w:cs="Cambria Math" w:eastAsia="Cambria Math" w:hAnsi="Cambria Math"/>
                      <w:sz w:val="28"/>
                      <w:szCs w:val="28"/>
                    </w:rPr>
                    <m:t xml:space="preserve">S</m:t>
                  </m:r>
                </m:den>
              </m:f>
              <m:r>
                <w:rPr>
                  <w:rFonts w:ascii="Cambria Math" w:cs="Cambria Math" w:eastAsia="Cambria Math" w:hAnsi="Cambria Math"/>
                  <w:sz w:val="28"/>
                  <w:szCs w:val="28"/>
                </w:rPr>
                <m:t xml:space="preserve">; </m:t>
              </m:r>
            </m:oMath>
            <w:r w:rsidDel="00000000" w:rsidR="00000000" w:rsidRPr="00000000">
              <w:rPr>
                <w:rtl w:val="0"/>
              </w:rPr>
            </w:r>
          </w:p>
        </w:tc>
        <w:tc>
          <w:tcPr>
            <w:vAlign w:val="center"/>
          </w:tcPr>
          <w:p w:rsidR="00000000" w:rsidDel="00000000" w:rsidP="00000000" w:rsidRDefault="00000000" w:rsidRPr="00000000" w14:paraId="00000030">
            <w:pPr>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rPr>
          <w:cantSplit w:val="0"/>
          <w:trHeight w:val="841" w:hRule="atLeast"/>
          <w:tblHeader w:val="0"/>
        </w:trPr>
        <w:tc>
          <w:tcPr/>
          <w:p w:rsidR="00000000" w:rsidDel="00000000" w:rsidP="00000000" w:rsidRDefault="00000000" w:rsidRPr="00000000" w14:paraId="00000031">
            <w:pPr>
              <w:jc w:val="center"/>
              <w:rPr>
                <w:rFonts w:ascii="Cambria Math" w:cs="Cambria Math" w:eastAsia="Cambria Math" w:hAnsi="Cambria Math"/>
                <w:sz w:val="28"/>
                <w:szCs w:val="28"/>
              </w:rPr>
            </w:pPr>
            <m:oMath>
              <m:bar>
                <m:barPr>
                  <m:pos/>
                  <m:ctrlPr>
                    <w:rPr>
                      <w:rFonts w:ascii="Cambria Math" w:cs="Cambria Math" w:eastAsia="Cambria Math" w:hAnsi="Cambria Math"/>
                      <w:sz w:val="28"/>
                      <w:szCs w:val="28"/>
                    </w:rPr>
                  </m:ctrlPr>
                </m:barPr>
                <m:e>
                  <m:r>
                    <w:rPr>
                      <w:rFonts w:ascii="Cambria Math" w:cs="Cambria Math" w:eastAsia="Cambria Math" w:hAnsi="Cambria Math"/>
                      <w:sz w:val="28"/>
                      <w:szCs w:val="28"/>
                    </w:rPr>
                    <m:t xml:space="preserve">∆</m:t>
                  </m:r>
                </m:e>
              </m:bar>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m:t>
                  </m:r>
                </m:num>
                <m:den>
                  <m:r>
                    <w:rPr>
                      <w:rFonts w:ascii="Cambria Math" w:cs="Cambria Math" w:eastAsia="Cambria Math" w:hAnsi="Cambria Math"/>
                      <w:sz w:val="28"/>
                      <w:szCs w:val="28"/>
                    </w:rPr>
                    <m:t xml:space="preserve">l </m:t>
                  </m:r>
                </m:den>
              </m:f>
            </m:oMath>
            <w:r w:rsidDel="00000000" w:rsidR="00000000" w:rsidRPr="00000000">
              <w:rPr>
                <w:rFonts w:ascii="Cambria Math" w:cs="Cambria Math" w:eastAsia="Cambria Math" w:hAnsi="Cambria Math"/>
                <w:sz w:val="28"/>
                <w:szCs w:val="28"/>
                <w:rtl w:val="0"/>
              </w:rPr>
              <w:t xml:space="preserve">,</w:t>
            </w:r>
          </w:p>
        </w:tc>
        <w:tc>
          <w:tcPr>
            <w:vAlign w:val="center"/>
          </w:tcPr>
          <w:p w:rsidR="00000000" w:rsidDel="00000000" w:rsidP="00000000" w:rsidRDefault="00000000" w:rsidRPr="00000000" w14:paraId="00000032">
            <w:pPr>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bl>
    <w:p w:rsidR="00000000" w:rsidDel="00000000" w:rsidP="00000000" w:rsidRDefault="00000000" w:rsidRPr="00000000" w14:paraId="00000033">
      <w:pPr>
        <w:spacing w:after="0" w:line="240" w:lineRule="auto"/>
        <w:ind w:firstLine="85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4">
      <w:pPr>
        <w:spacing w:after="0" w:line="24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где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C</m:t>
            </m:r>
          </m:e>
          <m:sub>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y</m:t>
                </m:r>
              </m:e>
              <m:sub>
                <m:r>
                  <w:rPr>
                    <w:rFonts w:ascii="Cambria Math" w:cs="Cambria Math" w:eastAsia="Cambria Math" w:hAnsi="Cambria Math"/>
                    <w:sz w:val="28"/>
                    <w:szCs w:val="28"/>
                  </w:rPr>
                  <m:t>∞</m:t>
                </m:r>
              </m:sub>
            </m:sSub>
          </m:sub>
        </m:sSub>
      </m:oMath>
      <w:r w:rsidDel="00000000" w:rsidR="00000000" w:rsidRPr="00000000">
        <w:rPr>
          <w:rFonts w:ascii="Times New Roman" w:cs="Times New Roman" w:eastAsia="Times New Roman" w:hAnsi="Times New Roman"/>
          <w:sz w:val="28"/>
          <w:szCs w:val="28"/>
          <w:rtl w:val="0"/>
        </w:rPr>
        <w:t xml:space="preserve"> – безразмерный коэффициент гидродинамической силы на руле без учета влияния корпуса, т.е. при значении зазора, стремящемся к бесконечности; </w:t>
      </w:r>
      <m:oMath>
        <m:r>
          <w:rPr>
            <w:rFonts w:ascii="Cambria Math" w:cs="Cambria Math" w:eastAsia="Cambria Math" w:hAnsi="Cambria Math"/>
            <w:sz w:val="28"/>
            <w:szCs w:val="28"/>
          </w:rPr>
          <m:t xml:space="preserve">∆</m:t>
        </m:r>
      </m:oMath>
      <w:r w:rsidDel="00000000" w:rsidR="00000000" w:rsidRPr="00000000">
        <w:rPr>
          <w:rFonts w:ascii="Times New Roman" w:cs="Times New Roman" w:eastAsia="Times New Roman" w:hAnsi="Times New Roman"/>
          <w:sz w:val="28"/>
          <w:szCs w:val="28"/>
          <w:rtl w:val="0"/>
        </w:rPr>
        <w:t xml:space="preserve"> – зазор между корпусом судна и торцом руля; </w:t>
      </w:r>
      <m:oMath>
        <m:r>
          <w:rPr>
            <w:rFonts w:ascii="Cambria Math" w:cs="Cambria Math" w:eastAsia="Cambria Math" w:hAnsi="Cambria Math"/>
            <w:sz w:val="28"/>
            <w:szCs w:val="28"/>
          </w:rPr>
          <m:t xml:space="preserve">k</m:t>
        </m:r>
      </m:oMath>
      <w:r w:rsidDel="00000000" w:rsidR="00000000" w:rsidRPr="00000000">
        <w:rPr>
          <w:rFonts w:ascii="Times New Roman" w:cs="Times New Roman" w:eastAsia="Times New Roman" w:hAnsi="Times New Roman"/>
          <w:sz w:val="28"/>
          <w:szCs w:val="28"/>
          <w:rtl w:val="0"/>
        </w:rPr>
        <w:t xml:space="preserve"> – коэффициент, учитывающий влияние зазора на подъемную силу, возникающую на руле; </w:t>
      </w:r>
      <w:r w:rsidDel="00000000" w:rsidR="00000000" w:rsidRPr="00000000">
        <w:rPr>
          <w:rFonts w:ascii="Times New Roman" w:cs="Times New Roman" w:eastAsia="Times New Roman" w:hAnsi="Times New Roman"/>
          <w:i w:val="1"/>
          <w:iCs w:val="1"/>
          <w:sz w:val="28"/>
          <w:szCs w:val="28"/>
          <w:rtl w:val="0"/>
        </w:rPr>
        <w:t xml:space="preserve">C</w:t>
      </w:r>
      <w:r w:rsidDel="00000000" w:rsidR="00000000" w:rsidRPr="00000000">
        <w:rPr>
          <w:rFonts w:ascii="Times New Roman" w:cs="Times New Roman" w:eastAsia="Times New Roman" w:hAnsi="Times New Roman"/>
          <w:i w:val="1"/>
          <w:iCs w:val="1"/>
          <w:sz w:val="28"/>
          <w:szCs w:val="28"/>
          <w:vertAlign w:val="subscript"/>
          <w:rtl w:val="0"/>
        </w:rPr>
        <w:t xml:space="preserve">y</w:t>
      </w:r>
      <w:r w:rsidDel="00000000" w:rsidR="00000000" w:rsidRPr="00000000">
        <w:rPr>
          <w:rFonts w:ascii="Times New Roman" w:cs="Times New Roman" w:eastAsia="Times New Roman" w:hAnsi="Times New Roman"/>
          <w:sz w:val="28"/>
          <w:szCs w:val="28"/>
          <w:rtl w:val="0"/>
        </w:rPr>
        <w:t xml:space="preserve"> – безразмерный коэффициент гидродинамической силы на руле с учетом зазора; λ – удлинение руля; </w:t>
      </w:r>
      <m:oMath>
        <m:r>
          <w:rPr>
            <w:rFonts w:ascii="Cambria Math" w:cs="Cambria Math" w:eastAsia="Cambria Math" w:hAnsi="Cambria Math"/>
            <w:sz w:val="28"/>
            <w:szCs w:val="28"/>
          </w:rPr>
          <m:t xml:space="preserve">l</m:t>
        </m:r>
      </m:oMath>
      <w:r w:rsidDel="00000000" w:rsidR="00000000" w:rsidRPr="00000000">
        <w:rPr>
          <w:rFonts w:ascii="Times New Roman" w:cs="Times New Roman" w:eastAsia="Times New Roman" w:hAnsi="Times New Roman"/>
          <w:sz w:val="28"/>
          <w:szCs w:val="28"/>
          <w:rtl w:val="0"/>
        </w:rPr>
        <w:t xml:space="preserve"> – размах пера руля; </w:t>
      </w:r>
      <w:r w:rsidDel="00000000" w:rsidR="00000000" w:rsidRPr="00000000">
        <w:rPr>
          <w:rFonts w:ascii="Times New Roman" w:cs="Times New Roman" w:eastAsia="Times New Roman" w:hAnsi="Times New Roman"/>
          <w:i w:val="1"/>
          <w:iCs w:val="1"/>
          <w:sz w:val="28"/>
          <w:szCs w:val="28"/>
          <w:rtl w:val="0"/>
        </w:rPr>
        <w:t xml:space="preserve">S</w:t>
      </w:r>
      <w:r w:rsidDel="00000000" w:rsidR="00000000" w:rsidRPr="00000000">
        <w:rPr>
          <w:rFonts w:ascii="Times New Roman" w:cs="Times New Roman" w:eastAsia="Times New Roman" w:hAnsi="Times New Roman"/>
          <w:sz w:val="28"/>
          <w:szCs w:val="28"/>
          <w:rtl w:val="0"/>
        </w:rPr>
        <w:t xml:space="preserve"> – площадь пера руля; ρ – плотность воды; υ – скорость натекания воды; </w:t>
      </w:r>
      <m:oMath>
        <m:bar>
          <m:barPr>
            <m:pos/>
            <m:ctrlPr>
              <w:rPr>
                <w:rFonts w:ascii="Cambria Math" w:cs="Cambria Math" w:eastAsia="Cambria Math" w:hAnsi="Cambria Math"/>
                <w:sz w:val="28"/>
                <w:szCs w:val="28"/>
              </w:rPr>
            </m:ctrlPr>
          </m:barPr>
          <m:e>
            <m:r>
              <w:rPr>
                <w:rFonts w:ascii="Cambria Math" w:cs="Cambria Math" w:eastAsia="Cambria Math" w:hAnsi="Cambria Math"/>
                <w:sz w:val="28"/>
                <w:szCs w:val="28"/>
              </w:rPr>
              <m:t xml:space="preserve">∆</m:t>
            </m:r>
          </m:e>
        </m:bar>
      </m:oMath>
      <w:r w:rsidDel="00000000" w:rsidR="00000000" w:rsidRPr="00000000">
        <w:rPr>
          <w:rFonts w:ascii="Times New Roman" w:cs="Times New Roman" w:eastAsia="Times New Roman" w:hAnsi="Times New Roman"/>
          <w:sz w:val="28"/>
          <w:szCs w:val="28"/>
          <w:rtl w:val="0"/>
        </w:rPr>
        <w:t xml:space="preserve"> - относительный зазор.</w:t>
      </w:r>
    </w:p>
    <w:p w:rsidR="00000000" w:rsidDel="00000000" w:rsidP="00000000" w:rsidRDefault="00000000" w:rsidRPr="00000000" w14:paraId="00000035">
      <w:pPr>
        <w:spacing w:after="0" w:line="24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Пример определения геометрических характеристик показан на рис. 6.</w:t>
      </w:r>
    </w:p>
    <w:p w:rsidR="00000000" w:rsidDel="00000000" w:rsidP="00000000" w:rsidRDefault="00000000" w:rsidRPr="00000000" w14:paraId="00000036">
      <w:pPr>
        <w:spacing w:after="0" w:line="240" w:lineRule="auto"/>
        <w:ind w:firstLine="85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7">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992582" cy="4730531"/>
            <wp:effectExtent b="0" l="0" r="0" t="0"/>
            <wp:docPr descr="D:\Users\Tsypina_O\Desktop\Зазор между корпусом и рулем\Pictures_new_1.jpg" id="11" name="image6.jpg"/>
            <a:graphic>
              <a:graphicData uri="http://schemas.openxmlformats.org/drawingml/2006/picture">
                <pic:pic>
                  <pic:nvPicPr>
                    <pic:cNvPr descr="D:\Users\Tsypina_O\Desktop\Зазор между корпусом и рулем\Pictures_new_1.jpg" id="0" name="image6.jpg"/>
                    <pic:cNvPicPr preferRelativeResize="0"/>
                  </pic:nvPicPr>
                  <pic:blipFill>
                    <a:blip r:embed="rId13"/>
                    <a:srcRect b="0" l="0" r="0" t="0"/>
                    <a:stretch>
                      <a:fillRect/>
                    </a:stretch>
                  </pic:blipFill>
                  <pic:spPr>
                    <a:xfrm>
                      <a:off x="0" y="0"/>
                      <a:ext cx="3992582" cy="4730531"/>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ind w:firstLine="85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9">
      <w:pPr>
        <w:spacing w:after="0" w:line="240" w:lineRule="auto"/>
        <w:ind w:firstLine="851"/>
        <w:jc w:val="both"/>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Рис. 6. </w:t>
      </w:r>
      <w:r w:rsidDel="00000000" w:rsidR="00000000" w:rsidRPr="00000000">
        <w:rPr>
          <w:rFonts w:ascii="Times New Roman" w:cs="Times New Roman" w:eastAsia="Times New Roman" w:hAnsi="Times New Roman"/>
          <w:b w:val="1"/>
          <w:bCs w:val="1"/>
          <w:i w:val="1"/>
          <w:iCs w:val="1"/>
          <w:sz w:val="28"/>
          <w:szCs w:val="28"/>
          <w:rtl w:val="0"/>
        </w:rPr>
        <w:t xml:space="preserve">Пример определения геометрических характеристик руля и расстояния (зазора) между корпусом и торцом руля</w:t>
      </w:r>
      <w:r w:rsidDel="00000000" w:rsidR="00000000" w:rsidRPr="00000000">
        <w:rPr>
          <w:rtl w:val="0"/>
        </w:rPr>
      </w:r>
    </w:p>
    <w:p w:rsidR="00000000" w:rsidDel="00000000" w:rsidP="00000000" w:rsidRDefault="00000000" w:rsidRPr="00000000" w14:paraId="0000003A">
      <w:pPr>
        <w:spacing w:after="0" w:line="240" w:lineRule="auto"/>
        <w:ind w:firstLine="85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B">
      <w:pPr>
        <w:spacing w:after="0" w:line="24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определения влияния зазора были проведены расчеты с использованием методов вычислительной гидродинамики CFD. Целью этих расчетов было определение значения коэффициента </w:t>
      </w:r>
      <w:r w:rsidDel="00000000" w:rsidR="00000000" w:rsidRPr="00000000">
        <w:rPr>
          <w:rFonts w:ascii="Times New Roman" w:cs="Times New Roman" w:eastAsia="Times New Roman" w:hAnsi="Times New Roman"/>
          <w:i w:val="1"/>
          <w:iCs w:val="1"/>
          <w:sz w:val="28"/>
          <w:szCs w:val="28"/>
          <w:rtl w:val="0"/>
        </w:rPr>
        <w:t xml:space="preserve">k</w:t>
      </w:r>
      <w:r w:rsidDel="00000000" w:rsidR="00000000" w:rsidRPr="00000000">
        <w:rPr>
          <w:rFonts w:ascii="Times New Roman" w:cs="Times New Roman" w:eastAsia="Times New Roman" w:hAnsi="Times New Roman"/>
          <w:sz w:val="28"/>
          <w:szCs w:val="28"/>
          <w:rtl w:val="0"/>
        </w:rPr>
        <w:t xml:space="preserve"> в зависимости от величины зазора и удлинения. В программном комплексе CFD используются методы, позволяющие вычислять параметры течений с помощью численного интегрирования осредненных по числу Рейнольдса уравнений Навье–Стокса (RANS). Для замыкания системы уравнений применялась «κ-ω SST» модель турбулентности. В качестве математического аппарата решения уравнений Навье–Стокса использовался метод контрольных объемов. Исследуемый руль располагался в центре расчетной области на некотором расстоянии от корпуса. Форма корпуса оставалась постоянной по всей длине расчетной области.</w:t>
      </w:r>
    </w:p>
    <w:p w:rsidR="00000000" w:rsidDel="00000000" w:rsidP="00000000" w:rsidRDefault="00000000" w:rsidRPr="00000000" w14:paraId="0000003C">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Вычислительная сетка строилась с одинаковыми для всех исследуемых рулей параметрами. В областях ожидаемых больших градиентов гидродинамических параметров задавалось сгущение узлов вычислительной сетки. Для лучшего разрешения пограничного слоя вблизи поверхности руля задавался призматический слой. В результате для расчета подъемной силы создавалась расчетная сетка, содержащая около 80 млн. конечных объемов (рис. 7).</w:t>
      </w:r>
    </w:p>
    <w:p w:rsidR="00000000" w:rsidDel="00000000" w:rsidP="00000000" w:rsidRDefault="00000000" w:rsidRPr="00000000" w14:paraId="0000003D">
      <w:pPr>
        <w:ind w:firstLine="709"/>
        <w:jc w:val="both"/>
        <w:rPr>
          <w:rFonts w:ascii="Times New Roman" w:cs="Times New Roman" w:eastAsia="Times New Roman" w:hAnsi="Times New Roman"/>
          <w:sz w:val="28"/>
          <w:szCs w:val="28"/>
        </w:rPr>
      </w:pPr>
      <w:r w:rsidDel="00000000" w:rsidR="00000000" w:rsidRPr="00000000">
        <w:rPr>
          <w:rtl w:val="0"/>
        </w:rPr>
      </w:r>
    </w:p>
    <w:tbl>
      <w:tblPr>
        <w:tblStyle w:val="Table2"/>
        <w:tblW w:w="9351.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75"/>
        <w:gridCol w:w="4676"/>
        <w:tblGridChange w:id="0">
          <w:tblGrid>
            <w:gridCol w:w="4675"/>
            <w:gridCol w:w="4676"/>
          </w:tblGrid>
        </w:tblGridChange>
      </w:tblGrid>
      <w:tr>
        <w:trPr>
          <w:cantSplit w:val="0"/>
          <w:trHeight w:val="1835" w:hRule="atLeast"/>
          <w:tblHeader w:val="0"/>
        </w:trPr>
        <w:tc>
          <w:tcPr/>
          <w:p w:rsidR="00000000" w:rsidDel="00000000" w:rsidP="00000000" w:rsidRDefault="00000000" w:rsidRPr="00000000" w14:paraId="0000003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840314" cy="1512000"/>
                  <wp:effectExtent b="0" l="0" r="0" t="0"/>
                  <wp:docPr id="10"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2840314" cy="1512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840573" cy="1512000"/>
                  <wp:effectExtent b="0" l="0" r="0" t="0"/>
                  <wp:docPr id="13"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2840573" cy="1512000"/>
                          </a:xfrm>
                          <a:prstGeom prst="rect"/>
                          <a:ln/>
                        </pic:spPr>
                      </pic:pic>
                    </a:graphicData>
                  </a:graphic>
                </wp:inline>
              </w:drawing>
            </w:r>
            <w:r w:rsidDel="00000000" w:rsidR="00000000" w:rsidRPr="00000000">
              <w:rPr>
                <w:rtl w:val="0"/>
              </w:rPr>
            </w:r>
          </w:p>
        </w:tc>
      </w:tr>
      <w:tr>
        <w:trPr>
          <w:cantSplit w:val="0"/>
          <w:trHeight w:val="140" w:hRule="atLeast"/>
          <w:tblHeader w:val="0"/>
        </w:trPr>
        <w:tc>
          <w:tcPr>
            <w:vAlign w:val="center"/>
          </w:tcPr>
          <w:p w:rsidR="00000000" w:rsidDel="00000000" w:rsidP="00000000" w:rsidRDefault="00000000" w:rsidRPr="00000000" w14:paraId="00000040">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w:t>
            </w:r>
          </w:p>
        </w:tc>
        <w:tc>
          <w:tcPr>
            <w:vAlign w:val="center"/>
          </w:tcPr>
          <w:p w:rsidR="00000000" w:rsidDel="00000000" w:rsidP="00000000" w:rsidRDefault="00000000" w:rsidRPr="00000000" w14:paraId="0000004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w:t>
            </w:r>
          </w:p>
        </w:tc>
      </w:tr>
      <w:tr>
        <w:trPr>
          <w:cantSplit w:val="0"/>
          <w:trHeight w:val="1835" w:hRule="atLeast"/>
          <w:tblHeader w:val="0"/>
        </w:trPr>
        <w:tc>
          <w:tcPr>
            <w:gridSpan w:val="2"/>
          </w:tcPr>
          <w:p w:rsidR="00000000" w:rsidDel="00000000" w:rsidP="00000000" w:rsidRDefault="00000000" w:rsidRPr="00000000" w14:paraId="0000004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840243" cy="1512000"/>
                  <wp:effectExtent b="0" l="0" r="0" t="0"/>
                  <wp:docPr id="12"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2840243" cy="1512000"/>
                          </a:xfrm>
                          <a:prstGeom prst="rect"/>
                          <a:ln/>
                        </pic:spPr>
                      </pic:pic>
                    </a:graphicData>
                  </a:graphic>
                </wp:inline>
              </w:drawing>
            </w:r>
            <w:r w:rsidDel="00000000" w:rsidR="00000000" w:rsidRPr="00000000">
              <w:rPr>
                <w:rtl w:val="0"/>
              </w:rPr>
            </w:r>
          </w:p>
        </w:tc>
      </w:tr>
      <w:tr>
        <w:trPr>
          <w:cantSplit w:val="0"/>
          <w:trHeight w:val="56" w:hRule="atLeast"/>
          <w:tblHeader w:val="0"/>
        </w:trPr>
        <w:tc>
          <w:tcPr>
            <w:gridSpan w:val="2"/>
          </w:tcPr>
          <w:p w:rsidR="00000000" w:rsidDel="00000000" w:rsidP="00000000" w:rsidRDefault="00000000" w:rsidRPr="00000000" w14:paraId="00000044">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w:t>
            </w:r>
          </w:p>
        </w:tc>
      </w:tr>
    </w:tbl>
    <w:p w:rsidR="00000000" w:rsidDel="00000000" w:rsidP="00000000" w:rsidRDefault="00000000" w:rsidRPr="00000000" w14:paraId="00000046">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7">
      <w:pPr>
        <w:spacing w:after="120" w:line="240" w:lineRule="auto"/>
        <w:jc w:val="center"/>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Рис. 7. </w:t>
      </w:r>
      <w:r w:rsidDel="00000000" w:rsidR="00000000" w:rsidRPr="00000000">
        <w:rPr>
          <w:rFonts w:ascii="Times New Roman" w:cs="Times New Roman" w:eastAsia="Times New Roman" w:hAnsi="Times New Roman"/>
          <w:b w:val="1"/>
          <w:bCs w:val="1"/>
          <w:i w:val="1"/>
          <w:iCs w:val="1"/>
          <w:sz w:val="28"/>
          <w:szCs w:val="28"/>
          <w:rtl w:val="0"/>
        </w:rPr>
        <w:t xml:space="preserve">Вычислительная сетка для одного из расчетных вариантов: а – общий вид; б – сгущение сетки вблизи руля; в – призматический слой</w:t>
      </w:r>
      <w:r w:rsidDel="00000000" w:rsidR="00000000" w:rsidRPr="00000000">
        <w:rPr>
          <w:rtl w:val="0"/>
        </w:rPr>
      </w:r>
    </w:p>
    <w:p w:rsidR="00000000" w:rsidDel="00000000" w:rsidP="00000000" w:rsidRDefault="00000000" w:rsidRPr="00000000" w14:paraId="00000048">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качестве граничных условий на входе, боковых и верхних стенках задавалось условие Velocity Inlet (скорость на входе, соответствующая скорости невозмущенного набегающего потока), на выходной стенке – условие Pressure Outlet (давление на выходе, соответствующее давлению в дальнем поле). На корпусе и исследуемой модели руля – условие Wall (стенка, к которой применяются условия прилипания и непротекания). В качестве начальных условий во всей расчетной области задавался однородный поток жидкости со скоростью, соответствующей скорости набегающего потока.</w:t>
      </w:r>
    </w:p>
    <w:p w:rsidR="00000000" w:rsidDel="00000000" w:rsidP="00000000" w:rsidRDefault="00000000" w:rsidRPr="00000000" w14:paraId="0000004A">
      <w:pPr>
        <w:spacing w:line="24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верификации (настройки) расчетной модели CFD вначале было выполнено сопоставление расчетных данных с результатами испытаний в аэродинамической трубе, представленными в [1] (при равенстве значений удлинения руля) и показанными на рис. 8.</w:t>
      </w:r>
    </w:p>
    <w:p w:rsidR="00000000" w:rsidDel="00000000" w:rsidP="00000000" w:rsidRDefault="00000000" w:rsidRPr="00000000" w14:paraId="0000004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6098400" cy="3823200"/>
            <wp:effectExtent b="0" l="0" r="0" t="0"/>
            <wp:docPr id="16"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6098400" cy="38232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after="0" w:line="240" w:lineRule="auto"/>
        <w:ind w:firstLine="851"/>
        <w:jc w:val="both"/>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Рис. 8. </w:t>
      </w:r>
      <w:r w:rsidDel="00000000" w:rsidR="00000000" w:rsidRPr="00000000">
        <w:rPr>
          <w:rFonts w:ascii="Times New Roman" w:cs="Times New Roman" w:eastAsia="Times New Roman" w:hAnsi="Times New Roman"/>
          <w:b w:val="1"/>
          <w:bCs w:val="1"/>
          <w:i w:val="1"/>
          <w:iCs w:val="1"/>
          <w:sz w:val="28"/>
          <w:szCs w:val="28"/>
          <w:rtl w:val="0"/>
        </w:rPr>
        <w:t xml:space="preserve">Сопоставление значений коэффициента, учитывающего влияние относительного зазора на силу на руле, полученного методом СFD, с результатами испытаний в аэродинамической трубе [1]</w:t>
      </w:r>
      <w:r w:rsidDel="00000000" w:rsidR="00000000" w:rsidRPr="00000000">
        <w:rPr>
          <w:rtl w:val="0"/>
        </w:rPr>
      </w:r>
    </w:p>
    <w:p w:rsidR="00000000" w:rsidDel="00000000" w:rsidP="00000000" w:rsidRDefault="00000000" w:rsidRPr="00000000" w14:paraId="0000004D">
      <w:pPr>
        <w:spacing w:after="0" w:line="240" w:lineRule="auto"/>
        <w:ind w:firstLine="85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pacing w:after="0" w:line="24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верификации были выполнены расчеты, в ходе которых варьировались значения зазора (в диапазоне от 0 до 2,0 м) и удлинения руля </w:t>
        <w:br w:type="textWrapping"/>
        <w:t xml:space="preserve">(в диапазоне от 0,5 до 2,0). В качестве примера далее приведена визуализация расчета одного из вариантов исследуемого руля, выполненного в ходе численного моделирования в СFD. На рис. 9 показаны линии тока жидкости для двух вариантов расположения руля относительно корпуса. На рис. 9, </w:t>
      </w:r>
      <w:r w:rsidDel="00000000" w:rsidR="00000000" w:rsidRPr="00000000">
        <w:rPr>
          <w:rFonts w:ascii="Times New Roman" w:cs="Times New Roman" w:eastAsia="Times New Roman" w:hAnsi="Times New Roman"/>
          <w:i w:val="1"/>
          <w:iCs w:val="1"/>
          <w:sz w:val="28"/>
          <w:szCs w:val="28"/>
          <w:rtl w:val="0"/>
        </w:rPr>
        <w:t xml:space="preserve">а</w:t>
      </w:r>
      <w:r w:rsidDel="00000000" w:rsidR="00000000" w:rsidRPr="00000000">
        <w:rPr>
          <w:rFonts w:ascii="Times New Roman" w:cs="Times New Roman" w:eastAsia="Times New Roman" w:hAnsi="Times New Roman"/>
          <w:sz w:val="28"/>
          <w:szCs w:val="28"/>
          <w:rtl w:val="0"/>
        </w:rPr>
        <w:t xml:space="preserve"> показан руль, расположенный на бесконечном расстоянии от корпуса, а на рис. 9, </w:t>
      </w:r>
      <w:r w:rsidDel="00000000" w:rsidR="00000000" w:rsidRPr="00000000">
        <w:rPr>
          <w:rFonts w:ascii="Times New Roman" w:cs="Times New Roman" w:eastAsia="Times New Roman" w:hAnsi="Times New Roman"/>
          <w:i w:val="1"/>
          <w:iCs w:val="1"/>
          <w:sz w:val="28"/>
          <w:szCs w:val="28"/>
          <w:rtl w:val="0"/>
        </w:rPr>
        <w:t xml:space="preserve">б</w:t>
      </w:r>
      <w:r w:rsidDel="00000000" w:rsidR="00000000" w:rsidRPr="00000000">
        <w:rPr>
          <w:rFonts w:ascii="Times New Roman" w:cs="Times New Roman" w:eastAsia="Times New Roman" w:hAnsi="Times New Roman"/>
          <w:sz w:val="28"/>
          <w:szCs w:val="28"/>
          <w:rtl w:val="0"/>
        </w:rPr>
        <w:t xml:space="preserve"> – расположенный на расстоянии 100 мм от корпуса. Хорошо видно, как корпус вносит изменение в скорость потока и появляется градиент скорости, а также затормаживается вихрь, сходящий с ближней к корпусу кромки руля. </w:t>
      </w:r>
    </w:p>
    <w:p w:rsidR="00000000" w:rsidDel="00000000" w:rsidP="00000000" w:rsidRDefault="00000000" w:rsidRPr="00000000" w14:paraId="0000004F">
      <w:pPr>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0">
      <w:pPr>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1">
      <w:pPr>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2">
      <w:pPr>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3">
      <w:pPr>
        <w:ind w:firstLine="709"/>
        <w:jc w:val="both"/>
        <w:rPr>
          <w:rFonts w:ascii="Times New Roman" w:cs="Times New Roman" w:eastAsia="Times New Roman" w:hAnsi="Times New Roman"/>
          <w:sz w:val="28"/>
          <w:szCs w:val="28"/>
        </w:rPr>
      </w:pPr>
      <w:r w:rsidDel="00000000" w:rsidR="00000000" w:rsidRPr="00000000">
        <w:rPr>
          <w:rtl w:val="0"/>
        </w:rPr>
      </w:r>
    </w:p>
    <w:tbl>
      <w:tblPr>
        <w:tblStyle w:val="Table3"/>
        <w:tblW w:w="9853.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93"/>
        <w:gridCol w:w="4960"/>
        <w:tblGridChange w:id="0">
          <w:tblGrid>
            <w:gridCol w:w="4893"/>
            <w:gridCol w:w="4960"/>
          </w:tblGrid>
        </w:tblGridChange>
      </w:tblGrid>
      <w:tr>
        <w:trPr>
          <w:cantSplit w:val="0"/>
          <w:tblHeader w:val="0"/>
        </w:trPr>
        <w:tc>
          <w:tcPr/>
          <w:p w:rsidR="00000000" w:rsidDel="00000000" w:rsidP="00000000" w:rsidRDefault="00000000" w:rsidRPr="00000000" w14:paraId="0000005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968832" cy="4037135"/>
                  <wp:effectExtent b="0" l="0" r="0" t="0"/>
                  <wp:docPr id="14" name="image11.jpg"/>
                  <a:graphic>
                    <a:graphicData uri="http://schemas.openxmlformats.org/drawingml/2006/picture">
                      <pic:pic>
                        <pic:nvPicPr>
                          <pic:cNvPr id="0" name="image11.jpg"/>
                          <pic:cNvPicPr preferRelativeResize="0"/>
                        </pic:nvPicPr>
                        <pic:blipFill>
                          <a:blip r:embed="rId18"/>
                          <a:srcRect b="0" l="0" r="50090" t="0"/>
                          <a:stretch>
                            <a:fillRect/>
                          </a:stretch>
                        </pic:blipFill>
                        <pic:spPr>
                          <a:xfrm>
                            <a:off x="0" y="0"/>
                            <a:ext cx="2968832" cy="403713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048744" cy="3993317"/>
                  <wp:effectExtent b="0" l="0" r="0" t="0"/>
                  <wp:docPr id="15" name="image11.jpg"/>
                  <a:graphic>
                    <a:graphicData uri="http://schemas.openxmlformats.org/drawingml/2006/picture">
                      <pic:pic>
                        <pic:nvPicPr>
                          <pic:cNvPr id="0" name="image11.jpg"/>
                          <pic:cNvPicPr preferRelativeResize="0"/>
                        </pic:nvPicPr>
                        <pic:blipFill>
                          <a:blip r:embed="rId18"/>
                          <a:srcRect b="0" l="49910" r="0" t="0"/>
                          <a:stretch>
                            <a:fillRect/>
                          </a:stretch>
                        </pic:blipFill>
                        <pic:spPr>
                          <a:xfrm>
                            <a:off x="0" y="0"/>
                            <a:ext cx="3048744" cy="3993317"/>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56">
            <w:pPr>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57">
            <w:pPr>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58">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w:t>
            </w:r>
          </w:p>
        </w:tc>
        <w:tc>
          <w:tcPr/>
          <w:p w:rsidR="00000000" w:rsidDel="00000000" w:rsidP="00000000" w:rsidRDefault="00000000" w:rsidRPr="00000000" w14:paraId="0000005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w:t>
            </w:r>
          </w:p>
        </w:tc>
      </w:tr>
    </w:tbl>
    <w:p w:rsidR="00000000" w:rsidDel="00000000" w:rsidP="00000000" w:rsidRDefault="00000000" w:rsidRPr="00000000" w14:paraId="0000005A">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iCs w:val="1"/>
          <w:sz w:val="28"/>
          <w:szCs w:val="28"/>
          <w:rtl w:val="0"/>
        </w:rPr>
        <w:t xml:space="preserve">Рис. 9. </w:t>
      </w:r>
      <w:r w:rsidDel="00000000" w:rsidR="00000000" w:rsidRPr="00000000">
        <w:rPr>
          <w:rFonts w:ascii="Times New Roman" w:cs="Times New Roman" w:eastAsia="Times New Roman" w:hAnsi="Times New Roman"/>
          <w:b w:val="1"/>
          <w:bCs w:val="1"/>
          <w:i w:val="1"/>
          <w:iCs w:val="1"/>
          <w:sz w:val="28"/>
          <w:szCs w:val="28"/>
          <w:rtl w:val="0"/>
        </w:rPr>
        <w:t xml:space="preserve">Линии тока жидкости вокруг исследуемого руля:   а – руль, расположенный на бесконечном расстоянии от корпуса; б – руль, расположенный на расстоянии 100 мм от корпуса</w:t>
      </w:r>
      <w:r w:rsidDel="00000000" w:rsidR="00000000" w:rsidRPr="00000000">
        <w:rPr>
          <w:rtl w:val="0"/>
        </w:rPr>
      </w:r>
    </w:p>
    <w:p w:rsidR="00000000" w:rsidDel="00000000" w:rsidP="00000000" w:rsidRDefault="00000000" w:rsidRPr="00000000" w14:paraId="0000005C">
      <w:pPr>
        <w:spacing w:after="0" w:line="24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D">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Полученное поле давления (рис. 10) показывает, что расстояние (зазор) между торцом руля и корпусом создает дополнительное препятствие для перетекания жидкости с нижней кромки руля на верхнюю кромку. Подобное препятствие приводит к увеличению подъемной силы. На рис. 10 указано численное значение подъемной силы, возникающей на руле. При этом на руле, расположенном на бесконечном удалении от корпуса, значение силы меньше и составляет 630 Н, а на руле, расположенном на расстоянии 100 мм от корпуса, значение силы больше и составляет 770 Н. </w:t>
      </w:r>
    </w:p>
    <w:p w:rsidR="00000000" w:rsidDel="00000000" w:rsidP="00000000" w:rsidRDefault="00000000" w:rsidRPr="00000000" w14:paraId="0000005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Pr>
        <mc:AlternateContent>
          <mc:Choice Requires="wpg">
            <w:drawing>
              <wp:inline distB="0" distT="0" distL="114300" distR="114300">
                <wp:extent cx="5975985" cy="3571240"/>
                <wp:effectExtent b="0" l="0" r="0" t="0"/>
                <wp:docPr id="3" name=""/>
                <a:graphic>
                  <a:graphicData uri="http://schemas.microsoft.com/office/word/2010/wordprocessingGroup">
                    <wpg:wgp>
                      <wpg:cNvGrpSpPr/>
                      <wpg:grpSpPr>
                        <a:xfrm>
                          <a:off x="2358000" y="1994375"/>
                          <a:ext cx="5975985" cy="3571240"/>
                          <a:chOff x="2358000" y="1994375"/>
                          <a:chExt cx="5976000" cy="3571250"/>
                        </a:xfrm>
                      </wpg:grpSpPr>
                      <wpg:grpSp>
                        <wpg:cNvGrpSpPr/>
                        <wpg:grpSpPr>
                          <a:xfrm>
                            <a:off x="2358008" y="1994380"/>
                            <a:ext cx="5975975" cy="3571225"/>
                            <a:chOff x="0" y="0"/>
                            <a:chExt cx="5975975" cy="3571225"/>
                          </a:xfrm>
                        </wpg:grpSpPr>
                        <wps:wsp>
                          <wps:cNvSpPr/>
                          <wps:cNvPr id="5" name="Shape 5"/>
                          <wps:spPr>
                            <a:xfrm>
                              <a:off x="0" y="0"/>
                              <a:ext cx="5975975" cy="3571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flipH="1">
                              <a:off x="2994042" y="0"/>
                              <a:ext cx="600" cy="3465138"/>
                            </a:xfrm>
                            <a:prstGeom prst="straightConnector1">
                              <a:avLst/>
                            </a:prstGeom>
                            <a:solidFill>
                              <a:srgbClr val="FFFFFF"/>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wps:wsp>
                          <wps:cNvSpPr/>
                          <wps:cNvPr id="7" name="Shape 7"/>
                          <wps:spPr>
                            <a:xfrm>
                              <a:off x="1708724" y="743108"/>
                              <a:ext cx="864312" cy="288303"/>
                            </a:xfrm>
                            <a:custGeom>
                              <a:rect b="b" l="l" r="r" t="t"/>
                              <a:pathLst>
                                <a:path extrusionOk="0" h="288303" w="864312">
                                  <a:moveTo>
                                    <a:pt x="0" y="0"/>
                                  </a:moveTo>
                                  <a:lnTo>
                                    <a:pt x="0" y="288303"/>
                                  </a:lnTo>
                                  <a:lnTo>
                                    <a:pt x="864312" y="288303"/>
                                  </a:lnTo>
                                  <a:lnTo>
                                    <a:pt x="864312"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F</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y</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 630 Н</w:t>
                                </w:r>
                              </w:p>
                            </w:txbxContent>
                          </wps:txbx>
                          <wps:bodyPr anchorCtr="0" anchor="t" bIns="38100" lIns="88900" spcFirstLastPara="1" rIns="88900" wrap="square" tIns="38100">
                            <a:noAutofit/>
                          </wps:bodyPr>
                        </wps:wsp>
                        <wps:wsp>
                          <wps:cNvSpPr/>
                          <wps:cNvPr id="8" name="Shape 8"/>
                          <wps:spPr>
                            <a:xfrm flipH="1">
                              <a:off x="1537321" y="887709"/>
                              <a:ext cx="171402" cy="903010"/>
                            </a:xfrm>
                            <a:custGeom>
                              <a:rect b="b" l="l" r="r" t="t"/>
                              <a:pathLst>
                                <a:path extrusionOk="0" h="903010" w="171402">
                                  <a:moveTo>
                                    <a:pt x="0" y="0"/>
                                  </a:moveTo>
                                  <a:lnTo>
                                    <a:pt x="171402" y="903010"/>
                                  </a:lnTo>
                                </a:path>
                              </a:pathLst>
                            </a:custGeom>
                            <a:solidFill>
                              <a:srgbClr val="FFFFFF"/>
                            </a:solidFill>
                            <a:ln cap="flat" cmpd="sng" w="9525">
                              <a:solidFill>
                                <a:srgbClr val="000000"/>
                              </a:solidFill>
                              <a:prstDash val="solid"/>
                              <a:miter lim="8000"/>
                              <a:headEnd len="sm" w="sm" type="none"/>
                              <a:tailEnd len="lg" w="lg" type="triangle"/>
                            </a:ln>
                          </wps:spPr>
                          <wps:bodyPr anchorCtr="0" anchor="ctr" bIns="91425" lIns="91425" spcFirstLastPara="1" rIns="91425" wrap="square" tIns="91425">
                            <a:noAutofit/>
                          </wps:bodyPr>
                        </wps:wsp>
                        <wps:wsp>
                          <wps:cNvSpPr/>
                          <wps:cNvPr id="9" name="Shape 9"/>
                          <wps:spPr>
                            <a:xfrm>
                              <a:off x="4871069" y="743108"/>
                              <a:ext cx="864312" cy="288303"/>
                            </a:xfrm>
                            <a:custGeom>
                              <a:rect b="b" l="l" r="r" t="t"/>
                              <a:pathLst>
                                <a:path extrusionOk="0" h="288303" w="864312">
                                  <a:moveTo>
                                    <a:pt x="0" y="0"/>
                                  </a:moveTo>
                                  <a:lnTo>
                                    <a:pt x="0" y="288303"/>
                                  </a:lnTo>
                                  <a:lnTo>
                                    <a:pt x="864312" y="288303"/>
                                  </a:lnTo>
                                  <a:lnTo>
                                    <a:pt x="864312"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F</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y</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 770 Н</w:t>
                                </w:r>
                              </w:p>
                            </w:txbxContent>
                          </wps:txbx>
                          <wps:bodyPr anchorCtr="0" anchor="t" bIns="38100" lIns="88900" spcFirstLastPara="1" rIns="88900" wrap="square" tIns="38100">
                            <a:noAutofit/>
                          </wps:bodyPr>
                        </wps:wsp>
                        <wps:wsp>
                          <wps:cNvSpPr/>
                          <wps:cNvPr id="10" name="Shape 10"/>
                          <wps:spPr>
                            <a:xfrm flipH="1">
                              <a:off x="4623465" y="887609"/>
                              <a:ext cx="247603" cy="902810"/>
                            </a:xfrm>
                            <a:custGeom>
                              <a:rect b="b" l="l" r="r" t="t"/>
                              <a:pathLst>
                                <a:path extrusionOk="0" h="902810" w="247603">
                                  <a:moveTo>
                                    <a:pt x="0" y="0"/>
                                  </a:moveTo>
                                  <a:lnTo>
                                    <a:pt x="247603" y="902810"/>
                                  </a:lnTo>
                                </a:path>
                              </a:pathLst>
                            </a:custGeom>
                            <a:solidFill>
                              <a:srgbClr val="FFFFFF"/>
                            </a:solidFill>
                            <a:ln cap="flat" cmpd="sng" w="9525">
                              <a:solidFill>
                                <a:srgbClr val="000000"/>
                              </a:solidFill>
                              <a:prstDash val="solid"/>
                              <a:miter lim="8000"/>
                              <a:headEnd len="sm" w="sm" type="none"/>
                              <a:tailEnd len="lg" w="lg" type="triangle"/>
                            </a:ln>
                          </wps:spPr>
                          <wps:bodyPr anchorCtr="0" anchor="ctr" bIns="91425" lIns="91425" spcFirstLastPara="1" rIns="91425" wrap="square" tIns="91425">
                            <a:noAutofit/>
                          </wps:bodyPr>
                        </wps:wsp>
                        <wps:wsp>
                          <wps:cNvSpPr/>
                          <wps:cNvPr id="11" name="Shape 11"/>
                          <wps:spPr>
                            <a:xfrm>
                              <a:off x="3698952" y="732608"/>
                              <a:ext cx="669309" cy="288003"/>
                            </a:xfrm>
                            <a:custGeom>
                              <a:rect b="b" l="l" r="r" t="t"/>
                              <a:pathLst>
                                <a:path extrusionOk="0" h="288003" w="669309">
                                  <a:moveTo>
                                    <a:pt x="0" y="0"/>
                                  </a:moveTo>
                                  <a:lnTo>
                                    <a:pt x="0" y="288003"/>
                                  </a:lnTo>
                                  <a:lnTo>
                                    <a:pt x="669309" y="288003"/>
                                  </a:lnTo>
                                  <a:lnTo>
                                    <a:pt x="669309"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Корпус</w:t>
                                </w:r>
                              </w:p>
                            </w:txbxContent>
                          </wps:txbx>
                          <wps:bodyPr anchorCtr="0" anchor="t" bIns="38100" lIns="88900" spcFirstLastPara="1" rIns="88900" wrap="square" tIns="38100">
                            <a:noAutofit/>
                          </wps:bodyPr>
                        </wps:wsp>
                        <wps:wsp>
                          <wps:cNvSpPr/>
                          <wps:cNvPr id="12" name="Shape 12"/>
                          <wps:spPr>
                            <a:xfrm flipH="1">
                              <a:off x="3336847" y="887409"/>
                              <a:ext cx="362105" cy="94901"/>
                            </a:xfrm>
                            <a:custGeom>
                              <a:rect b="b" l="l" r="r" t="t"/>
                              <a:pathLst>
                                <a:path extrusionOk="0" h="94901" w="362105">
                                  <a:moveTo>
                                    <a:pt x="0" y="0"/>
                                  </a:moveTo>
                                  <a:lnTo>
                                    <a:pt x="362105" y="94901"/>
                                  </a:lnTo>
                                </a:path>
                              </a:pathLst>
                            </a:custGeom>
                            <a:solidFill>
                              <a:srgbClr val="FFFFFF"/>
                            </a:solidFill>
                            <a:ln cap="flat" cmpd="sng" w="9525">
                              <a:solidFill>
                                <a:srgbClr val="000000"/>
                              </a:solidFill>
                              <a:prstDash val="solid"/>
                              <a:miter lim="8000"/>
                              <a:headEnd len="sm" w="sm" type="none"/>
                              <a:tailEnd len="lg" w="lg" type="triangl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975985" cy="3571240"/>
                <wp:effectExtent b="0" l="0" r="0" t="0"/>
                <wp:docPr id="3" name="image17.png"/>
                <a:graphic>
                  <a:graphicData uri="http://schemas.openxmlformats.org/drawingml/2006/picture">
                    <pic:pic>
                      <pic:nvPicPr>
                        <pic:cNvPr id="0" name="image17.png"/>
                        <pic:cNvPicPr preferRelativeResize="0"/>
                      </pic:nvPicPr>
                      <pic:blipFill>
                        <a:blip r:embed="rId12"/>
                        <a:srcRect/>
                        <a:stretch>
                          <a:fillRect/>
                        </a:stretch>
                      </pic:blipFill>
                      <pic:spPr>
                        <a:xfrm>
                          <a:off x="0" y="0"/>
                          <a:ext cx="5975985" cy="357124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147100</wp:posOffset>
            </wp:positionH>
            <wp:positionV relativeFrom="paragraph">
              <wp:posOffset>13200</wp:posOffset>
            </wp:positionV>
            <wp:extent cx="5940084" cy="3394838"/>
            <wp:effectExtent b="0" l="0" r="0" t="0"/>
            <wp:wrapNone/>
            <wp:docPr id="19" name="image15.jpg"/>
            <a:graphic>
              <a:graphicData uri="http://schemas.openxmlformats.org/drawingml/2006/picture">
                <pic:pic>
                  <pic:nvPicPr>
                    <pic:cNvPr id="0" name="image15.jpg"/>
                    <pic:cNvPicPr preferRelativeResize="0"/>
                  </pic:nvPicPr>
                  <pic:blipFill>
                    <a:blip r:embed="rId19"/>
                    <a:srcRect b="0" l="0" r="0" t="0"/>
                    <a:stretch>
                      <a:fillRect/>
                    </a:stretch>
                  </pic:blipFill>
                  <pic:spPr>
                    <a:xfrm>
                      <a:off x="0" y="0"/>
                      <a:ext cx="5940084" cy="3394838"/>
                    </a:xfrm>
                    <a:prstGeom prst="rect"/>
                    <a:ln/>
                  </pic:spPr>
                </pic:pic>
              </a:graphicData>
            </a:graphic>
          </wp:anchor>
        </w:drawing>
      </w:r>
    </w:p>
    <w:p w:rsidR="00000000" w:rsidDel="00000000" w:rsidP="00000000" w:rsidRDefault="00000000" w:rsidRPr="00000000" w14:paraId="00000061">
      <w:pPr>
        <w:spacing w:line="240" w:lineRule="auto"/>
        <w:jc w:val="center"/>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Рис. 10. </w:t>
      </w:r>
      <w:r w:rsidDel="00000000" w:rsidR="00000000" w:rsidRPr="00000000">
        <w:rPr>
          <w:rFonts w:ascii="Times New Roman" w:cs="Times New Roman" w:eastAsia="Times New Roman" w:hAnsi="Times New Roman"/>
          <w:b w:val="1"/>
          <w:bCs w:val="1"/>
          <w:i w:val="1"/>
          <w:iCs w:val="1"/>
          <w:sz w:val="28"/>
          <w:szCs w:val="28"/>
          <w:rtl w:val="0"/>
        </w:rPr>
        <w:t xml:space="preserve">Поле давления вокруг исследуемого руля</w:t>
      </w:r>
      <w:r w:rsidDel="00000000" w:rsidR="00000000" w:rsidRPr="00000000">
        <w:rPr>
          <w:rtl w:val="0"/>
        </w:rPr>
      </w:r>
    </w:p>
    <w:p w:rsidR="00000000" w:rsidDel="00000000" w:rsidP="00000000" w:rsidRDefault="00000000" w:rsidRPr="00000000" w14:paraId="00000062">
      <w:pPr>
        <w:spacing w:line="24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Некоторые результаты, полученные с использованием CFD, представлены на рис. 11.</w:t>
      </w:r>
    </w:p>
    <w:p w:rsidR="00000000" w:rsidDel="00000000" w:rsidP="00000000" w:rsidRDefault="00000000" w:rsidRPr="00000000" w14:paraId="00000063">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9950" cy="3846830"/>
            <wp:effectExtent b="0" l="0" r="0" t="0"/>
            <wp:docPr id="17"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5949950" cy="384683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after="0" w:line="240" w:lineRule="auto"/>
        <w:ind w:firstLine="851"/>
        <w:jc w:val="center"/>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Рис. 11. </w:t>
      </w:r>
      <w:r w:rsidDel="00000000" w:rsidR="00000000" w:rsidRPr="00000000">
        <w:rPr>
          <w:rFonts w:ascii="Times New Roman" w:cs="Times New Roman" w:eastAsia="Times New Roman" w:hAnsi="Times New Roman"/>
          <w:b w:val="1"/>
          <w:bCs w:val="1"/>
          <w:i w:val="1"/>
          <w:iCs w:val="1"/>
          <w:sz w:val="28"/>
          <w:szCs w:val="28"/>
          <w:rtl w:val="0"/>
        </w:rPr>
        <w:t xml:space="preserve">Значения коэффициента, учитывающего влияние зазора на силу на руле, полученное с использованием CFD в зависимости от величины зазора и удлинения руля</w:t>
      </w:r>
      <w:r w:rsidDel="00000000" w:rsidR="00000000" w:rsidRPr="00000000">
        <w:rPr>
          <w:rtl w:val="0"/>
        </w:rPr>
      </w:r>
    </w:p>
    <w:p w:rsidR="00000000" w:rsidDel="00000000" w:rsidP="00000000" w:rsidRDefault="00000000" w:rsidRPr="00000000" w14:paraId="00000065">
      <w:pPr>
        <w:spacing w:after="0" w:line="24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 представленных на рис. 11 данных следует, что на значения коэффициента </w:t>
      </w:r>
      <w:r w:rsidDel="00000000" w:rsidR="00000000" w:rsidRPr="00000000">
        <w:rPr>
          <w:rFonts w:ascii="Times New Roman" w:cs="Times New Roman" w:eastAsia="Times New Roman" w:hAnsi="Times New Roman"/>
          <w:i w:val="1"/>
          <w:iCs w:val="1"/>
          <w:sz w:val="28"/>
          <w:szCs w:val="28"/>
          <w:rtl w:val="0"/>
        </w:rPr>
        <w:t xml:space="preserve">k</w:t>
      </w:r>
      <w:r w:rsidDel="00000000" w:rsidR="00000000" w:rsidRPr="00000000">
        <w:rPr>
          <w:rFonts w:ascii="Times New Roman" w:cs="Times New Roman" w:eastAsia="Times New Roman" w:hAnsi="Times New Roman"/>
          <w:sz w:val="28"/>
          <w:szCs w:val="28"/>
          <w:rtl w:val="0"/>
        </w:rPr>
        <w:t xml:space="preserve"> влияют два фактора: зазор и удлинение руля.</w:t>
      </w:r>
    </w:p>
    <w:p w:rsidR="00000000" w:rsidDel="00000000" w:rsidP="00000000" w:rsidRDefault="00000000" w:rsidRPr="00000000" w14:paraId="00000066">
      <w:pPr>
        <w:spacing w:after="0" w:line="24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основании результатов, полученных методом CFD, была выполнена аппроксимация и получена формула для вычисления коэффициента </w:t>
      </w:r>
      <w:r w:rsidDel="00000000" w:rsidR="00000000" w:rsidRPr="00000000">
        <w:rPr>
          <w:rFonts w:ascii="Times New Roman" w:cs="Times New Roman" w:eastAsia="Times New Roman" w:hAnsi="Times New Roman"/>
          <w:i w:val="1"/>
          <w:iCs w:val="1"/>
          <w:sz w:val="28"/>
          <w:szCs w:val="28"/>
          <w:rtl w:val="0"/>
        </w:rPr>
        <w:t xml:space="preserve">k</w:t>
      </w:r>
      <w:r w:rsidDel="00000000" w:rsidR="00000000" w:rsidRPr="00000000">
        <w:rPr>
          <w:rFonts w:ascii="Times New Roman" w:cs="Times New Roman" w:eastAsia="Times New Roman" w:hAnsi="Times New Roman"/>
          <w:sz w:val="28"/>
          <w:szCs w:val="28"/>
          <w:rtl w:val="0"/>
        </w:rPr>
        <w:t xml:space="preserve">, учитывающего влияние зазора между торцом руля и корпусом на гидродинамическую силу, возникающую на руле:</w:t>
      </w:r>
    </w:p>
    <w:p w:rsidR="00000000" w:rsidDel="00000000" w:rsidP="00000000" w:rsidRDefault="00000000" w:rsidRPr="00000000" w14:paraId="00000067">
      <w:pPr>
        <w:spacing w:after="0" w:line="240" w:lineRule="auto"/>
        <w:jc w:val="both"/>
        <w:rPr>
          <w:rFonts w:ascii="Times New Roman" w:cs="Times New Roman" w:eastAsia="Times New Roman" w:hAnsi="Times New Roman"/>
          <w:sz w:val="28"/>
          <w:szCs w:val="28"/>
        </w:rPr>
      </w:pPr>
      <w:r w:rsidDel="00000000" w:rsidR="00000000" w:rsidRPr="00000000">
        <w:rPr>
          <w:rtl w:val="0"/>
        </w:rPr>
      </w:r>
    </w:p>
    <w:tbl>
      <w:tblPr>
        <w:tblStyle w:val="Table4"/>
        <w:tblW w:w="9627.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926"/>
        <w:gridCol w:w="701"/>
        <w:tblGridChange w:id="0">
          <w:tblGrid>
            <w:gridCol w:w="8926"/>
            <w:gridCol w:w="701"/>
          </w:tblGrid>
        </w:tblGridChange>
      </w:tblGrid>
      <w:tr>
        <w:trPr>
          <w:cantSplit w:val="0"/>
          <w:tblHeader w:val="0"/>
        </w:trPr>
        <w:tc>
          <w:tcPr/>
          <w:p w:rsidR="00000000" w:rsidDel="00000000" w:rsidP="00000000" w:rsidRDefault="00000000" w:rsidRPr="00000000" w14:paraId="00000068">
            <w:pPr>
              <w:jc w:val="center"/>
              <w:rPr>
                <w:rFonts w:ascii="Cambria Math" w:cs="Cambria Math" w:eastAsia="Cambria Math" w:hAnsi="Cambria Math"/>
                <w:sz w:val="28"/>
                <w:szCs w:val="28"/>
              </w:rPr>
            </w:pPr>
            <m:oMath>
              <m:r>
                <w:rPr>
                  <w:rFonts w:ascii="Cambria Math" w:cs="Cambria Math" w:eastAsia="Cambria Math" w:hAnsi="Cambria Math"/>
                  <w:sz w:val="28"/>
                  <w:szCs w:val="28"/>
                </w:rPr>
                <m:t xml:space="preserve">k =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1,648+0,532∙λ+6,971∙∆-8,511∙</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m:t>
                      </m:r>
                    </m:e>
                    <m:sup>
                      <m:r>
                        <w:rPr>
                          <w:rFonts w:ascii="Cambria Math" w:cs="Cambria Math" w:eastAsia="Cambria Math" w:hAnsi="Cambria Math"/>
                          <w:sz w:val="28"/>
                          <w:szCs w:val="28"/>
                        </w:rPr>
                        <m:t xml:space="preserve">2</m:t>
                      </m:r>
                    </m:sup>
                  </m:sSup>
                  <m:r>
                    <w:rPr>
                      <w:rFonts w:ascii="Cambria Math" w:cs="Cambria Math" w:eastAsia="Cambria Math" w:hAnsi="Cambria Math"/>
                      <w:sz w:val="28"/>
                      <w:szCs w:val="28"/>
                    </w:rPr>
                    <m:t xml:space="preserve">+3,379∙</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m:t>
                      </m:r>
                    </m:e>
                    <m:sup>
                      <m:r>
                        <w:rPr>
                          <w:rFonts w:ascii="Cambria Math" w:cs="Cambria Math" w:eastAsia="Cambria Math" w:hAnsi="Cambria Math"/>
                          <w:sz w:val="28"/>
                          <w:szCs w:val="28"/>
                        </w:rPr>
                        <m:t xml:space="preserve">3</m:t>
                      </m:r>
                    </m:sup>
                  </m:sSup>
                </m:num>
                <m:den>
                  <m:r>
                    <w:rPr>
                      <w:rFonts w:ascii="Cambria Math" w:cs="Cambria Math" w:eastAsia="Cambria Math" w:hAnsi="Cambria Math"/>
                      <w:sz w:val="28"/>
                      <w:szCs w:val="28"/>
                    </w:rPr>
                    <m:t xml:space="preserve">1+0,530∙λ+7,785∙∆-8,862∙</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m:t>
                      </m:r>
                    </m:e>
                    <m:sup>
                      <m:r>
                        <w:rPr>
                          <w:rFonts w:ascii="Cambria Math" w:cs="Cambria Math" w:eastAsia="Cambria Math" w:hAnsi="Cambria Math"/>
                          <w:sz w:val="28"/>
                          <w:szCs w:val="28"/>
                        </w:rPr>
                        <m:t xml:space="preserve">2</m:t>
                      </m:r>
                    </m:sup>
                  </m:sSup>
                  <m:r>
                    <w:rPr>
                      <w:rFonts w:ascii="Cambria Math" w:cs="Cambria Math" w:eastAsia="Cambria Math" w:hAnsi="Cambria Math"/>
                      <w:sz w:val="28"/>
                      <w:szCs w:val="28"/>
                    </w:rPr>
                    <m:t xml:space="preserve">+3,432∙</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m:t>
                      </m:r>
                    </m:e>
                    <m:sup>
                      <m:r>
                        <w:rPr>
                          <w:rFonts w:ascii="Cambria Math" w:cs="Cambria Math" w:eastAsia="Cambria Math" w:hAnsi="Cambria Math"/>
                          <w:sz w:val="28"/>
                          <w:szCs w:val="28"/>
                        </w:rPr>
                        <m:t xml:space="preserve">3</m:t>
                      </m:r>
                    </m:sup>
                  </m:sSup>
                </m:den>
              </m:f>
              <m:r>
                <w:rPr>
                  <w:rFonts w:ascii="Cambria Math" w:cs="Cambria Math" w:eastAsia="Cambria Math" w:hAnsi="Cambria Math"/>
                  <w:sz w:val="28"/>
                  <w:szCs w:val="28"/>
                </w:rPr>
                <m:t xml:space="preserve">.</m:t>
              </m:r>
            </m:oMath>
            <w:r w:rsidDel="00000000" w:rsidR="00000000" w:rsidRPr="00000000">
              <w:rPr>
                <w:rtl w:val="0"/>
              </w:rPr>
            </w:r>
          </w:p>
        </w:tc>
        <w:tc>
          <w:tcPr>
            <w:vAlign w:val="center"/>
          </w:tcPr>
          <w:p w:rsidR="00000000" w:rsidDel="00000000" w:rsidP="00000000" w:rsidRDefault="00000000" w:rsidRPr="00000000" w14:paraId="00000069">
            <w:pP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r>
    </w:tbl>
    <w:p w:rsidR="00000000" w:rsidDel="00000000" w:rsidP="00000000" w:rsidRDefault="00000000" w:rsidRPr="00000000" w14:paraId="0000006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B">
      <w:pPr>
        <w:spacing w:after="0" w:line="240" w:lineRule="auto"/>
        <w:ind w:firstLine="851"/>
        <w:jc w:val="both"/>
        <w:rPr>
          <w:rFonts w:ascii="Times New Roman" w:cs="Times New Roman" w:eastAsia="Times New Roman" w:hAnsi="Times New Roman"/>
          <w:sz w:val="28"/>
          <w:szCs w:val="28"/>
        </w:rPr>
      </w:pPr>
      <w:sdt>
        <w:sdtPr>
          <w:id w:val="525226224"/>
          <w:tag w:val="goog_rdk_0"/>
        </w:sdtPr>
        <w:sdtContent>
          <w:r w:rsidDel="00000000" w:rsidR="00000000" w:rsidRPr="00000000">
            <w:rPr>
              <w:rFonts w:ascii="Gungsuh" w:cs="Gungsuh" w:eastAsia="Gungsuh" w:hAnsi="Gungsuh"/>
              <w:sz w:val="28"/>
              <w:szCs w:val="28"/>
              <w:rtl w:val="0"/>
            </w:rPr>
            <w:t xml:space="preserve">Формула (5) справедлива при выполнении условия 0,5 ≤ λ ≤ 2,0. В этой формуле используется размерное значение зазора, так как при проектировании такой подход представляется более удобным.</w:t>
          </w:r>
        </w:sdtContent>
      </w:sdt>
    </w:p>
    <w:p w:rsidR="00000000" w:rsidDel="00000000" w:rsidP="00000000" w:rsidRDefault="00000000" w:rsidRPr="00000000" w14:paraId="0000006C">
      <w:pPr>
        <w:tabs>
          <w:tab w:val="left" w:leader="none" w:pos="6946"/>
        </w:tabs>
        <w:spacing w:after="0" w:line="240" w:lineRule="auto"/>
        <w:ind w:firstLine="85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Так как определение подъемной силы на руле в натурных условиях затруднительно, для анализа полученных результатов были использованы экспериментальные данные по определению подъемной силы, возникающей на горизонтальном руле, расположенном в носовой части корпуса. Эти данные были получены в ходе модельных испытаний подводного объекта. При этом относительный зазор между горизонтальным рулем и корпусом в ходе </w:t>
      </w:r>
      <w:r w:rsidDel="00000000" w:rsidR="00000000" w:rsidRPr="00000000">
        <w:rPr>
          <w:rFonts w:ascii="Times New Roman" w:cs="Times New Roman" w:eastAsia="Times New Roman" w:hAnsi="Times New Roman"/>
          <w:sz w:val="28"/>
          <w:szCs w:val="28"/>
          <w:rtl w:val="0"/>
        </w:rPr>
        <w:t xml:space="preserve">эти</w:t>
      </w:r>
      <w:r w:rsidDel="00000000" w:rsidR="00000000" w:rsidRPr="00000000">
        <w:rPr>
          <w:rFonts w:ascii="Times New Roman" w:cs="Times New Roman" w:eastAsia="Times New Roman" w:hAnsi="Times New Roman"/>
          <w:color w:val="000000"/>
          <w:sz w:val="28"/>
          <w:szCs w:val="28"/>
          <w:rtl w:val="0"/>
        </w:rPr>
        <w:t xml:space="preserve">х испытаний составлял </w:t>
      </w:r>
      <m:oMath>
        <m:bar>
          <m:barPr>
            <m:pos/>
            <m:ctrlPr>
              <w:rPr>
                <w:rFonts w:ascii="Cambria Math" w:cs="Cambria Math" w:eastAsia="Cambria Math" w:hAnsi="Cambria Math"/>
                <w:sz w:val="28"/>
                <w:szCs w:val="28"/>
              </w:rPr>
            </m:ctrlPr>
          </m:barPr>
          <m:e>
            <m:r>
              <w:rPr>
                <w:rFonts w:ascii="Cambria Math" w:cs="Cambria Math" w:eastAsia="Cambria Math" w:hAnsi="Cambria Math"/>
                <w:sz w:val="28"/>
                <w:szCs w:val="28"/>
              </w:rPr>
              <m:t xml:space="preserve">∆</m:t>
            </m:r>
          </m:e>
        </m:bar>
        <m:r>
          <w:rPr>
            <w:rFonts w:ascii="Cambria Math" w:cs="Cambria Math" w:eastAsia="Cambria Math" w:hAnsi="Cambria Math"/>
            <w:sz w:val="28"/>
            <w:szCs w:val="28"/>
          </w:rPr>
          <m:t xml:space="preserve"> =0,1</m:t>
        </m:r>
      </m:oMath>
      <w:r w:rsidDel="00000000" w:rsidR="00000000" w:rsidRPr="00000000">
        <w:rPr>
          <w:rFonts w:ascii="Times New Roman" w:cs="Times New Roman" w:eastAsia="Times New Roman" w:hAnsi="Times New Roman"/>
          <w:color w:val="000000"/>
          <w:sz w:val="28"/>
          <w:szCs w:val="28"/>
          <w:rtl w:val="0"/>
        </w:rPr>
        <w:t xml:space="preserve">, а удлинение руля  </w:t>
      </w:r>
      <m:oMath>
        <m:r>
          <m:t>λ</m:t>
        </m:r>
        <m:r>
          <w:rPr>
            <w:rFonts w:ascii="Cambria Math" w:cs="Cambria Math" w:eastAsia="Cambria Math" w:hAnsi="Cambria Math"/>
            <w:sz w:val="28"/>
            <w:szCs w:val="28"/>
          </w:rPr>
          <m:t xml:space="preserve">=1,2</m:t>
        </m:r>
      </m:oMath>
      <w:r w:rsidDel="00000000" w:rsidR="00000000" w:rsidRPr="00000000">
        <w:rPr>
          <w:rFonts w:ascii="Times New Roman" w:cs="Times New Roman" w:eastAsia="Times New Roman" w:hAnsi="Times New Roman"/>
          <w:color w:val="000000"/>
          <w:sz w:val="28"/>
          <w:szCs w:val="28"/>
          <w:rtl w:val="0"/>
        </w:rPr>
        <w:t xml:space="preserve">. На рис. 12 представлены зависимости коэффициентов подъемной силы на руле, полученные в ходе эксперимента, а также расчетным путем с использованием коэффициента, вычисленного по формуле (5).</w:t>
      </w:r>
    </w:p>
    <w:p w:rsidR="00000000" w:rsidDel="00000000" w:rsidP="00000000" w:rsidRDefault="00000000" w:rsidRPr="00000000" w14:paraId="0000006D">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6148800" cy="3333600"/>
            <wp:effectExtent b="0" l="0" r="0" t="0"/>
            <wp:docPr id="18"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6148800" cy="33336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tabs>
          <w:tab w:val="left" w:leader="none" w:pos="6946"/>
        </w:tabs>
        <w:spacing w:after="0" w:line="240" w:lineRule="auto"/>
        <w:ind w:firstLine="851"/>
        <w:jc w:val="both"/>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Рис. 12. </w:t>
      </w:r>
      <w:r w:rsidDel="00000000" w:rsidR="00000000" w:rsidRPr="00000000">
        <w:rPr>
          <w:rFonts w:ascii="Times New Roman" w:cs="Times New Roman" w:eastAsia="Times New Roman" w:hAnsi="Times New Roman"/>
          <w:b w:val="1"/>
          <w:bCs w:val="1"/>
          <w:i w:val="1"/>
          <w:iCs w:val="1"/>
          <w:sz w:val="28"/>
          <w:szCs w:val="28"/>
          <w:rtl w:val="0"/>
        </w:rPr>
        <w:t xml:space="preserve">Зависимости коэффициентов подъемной силы от угла перекладки горизонтального руля, расположенного в носовой части корпуса</w:t>
      </w:r>
      <w:r w:rsidDel="00000000" w:rsidR="00000000" w:rsidRPr="00000000">
        <w:rPr>
          <w:rtl w:val="0"/>
        </w:rPr>
      </w:r>
    </w:p>
    <w:p w:rsidR="00000000" w:rsidDel="00000000" w:rsidP="00000000" w:rsidRDefault="00000000" w:rsidRPr="00000000" w14:paraId="0000006F">
      <w:pPr>
        <w:tabs>
          <w:tab w:val="left" w:leader="none" w:pos="6946"/>
        </w:tabs>
        <w:spacing w:after="0" w:line="240" w:lineRule="auto"/>
        <w:ind w:firstLine="85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0">
      <w:pPr>
        <w:tabs>
          <w:tab w:val="left" w:leader="none" w:pos="6946"/>
        </w:tabs>
        <w:spacing w:after="0" w:line="24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 результатов, представленных на рис. 12, следует следующее: </w:t>
      </w:r>
    </w:p>
    <w:p w:rsidR="00000000" w:rsidDel="00000000" w:rsidP="00000000" w:rsidRDefault="00000000" w:rsidRPr="00000000" w14:paraId="00000071">
      <w:pPr>
        <w:tabs>
          <w:tab w:val="left" w:leader="none" w:pos="6946"/>
        </w:tabs>
        <w:spacing w:after="0" w:line="240" w:lineRule="auto"/>
        <w:ind w:firstLine="851"/>
        <w:jc w:val="both"/>
        <w:rPr>
          <w:rFonts w:ascii="Times New Roman" w:cs="Times New Roman" w:eastAsia="Times New Roman" w:hAnsi="Times New Roman"/>
          <w:sz w:val="28"/>
          <w:szCs w:val="28"/>
        </w:rPr>
      </w:pP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 величина зазора оказывает существенное влияние на коэффициент подъемной силы;</w:t>
      </w:r>
    </w:p>
    <w:p w:rsidR="00000000" w:rsidDel="00000000" w:rsidP="00000000" w:rsidRDefault="00000000" w:rsidRPr="00000000" w14:paraId="00000072">
      <w:pPr>
        <w:tabs>
          <w:tab w:val="left" w:leader="none" w:pos="6946"/>
        </w:tabs>
        <w:spacing w:after="0" w:line="240" w:lineRule="auto"/>
        <w:ind w:firstLine="851"/>
        <w:jc w:val="both"/>
        <w:rPr>
          <w:rFonts w:ascii="Times New Roman" w:cs="Times New Roman" w:eastAsia="Times New Roman" w:hAnsi="Times New Roman"/>
          <w:sz w:val="28"/>
          <w:szCs w:val="28"/>
        </w:rPr>
      </w:pPr>
      <w:r w:rsidDel="00000000" w:rsidR="00000000" w:rsidRPr="00000000">
        <w:rPr>
          <w:rFonts w:ascii="Symbol" w:cs="Symbol" w:eastAsia="Symbol" w:hAnsi="Symbol"/>
          <w:sz w:val="28"/>
          <w:szCs w:val="28"/>
          <w:rtl w:val="0"/>
        </w:rPr>
        <w:t xml:space="preserve">−</w:t>
      </w:r>
      <w:r w:rsidDel="00000000" w:rsidR="00000000" w:rsidRPr="00000000">
        <w:rPr>
          <w:rFonts w:ascii="Times New Roman" w:cs="Times New Roman" w:eastAsia="Times New Roman" w:hAnsi="Times New Roman"/>
          <w:sz w:val="28"/>
          <w:szCs w:val="28"/>
          <w:rtl w:val="0"/>
        </w:rPr>
        <w:t xml:space="preserve"> предложенный подход для учета зазора позволяет выполнить расчет коэффициента подъемной силы, значение которого хорошо согласуется с экспериментальными данными.</w:t>
      </w:r>
    </w:p>
    <w:p w:rsidR="00000000" w:rsidDel="00000000" w:rsidP="00000000" w:rsidRDefault="00000000" w:rsidRPr="00000000" w14:paraId="00000073">
      <w:pPr>
        <w:tabs>
          <w:tab w:val="left" w:leader="none" w:pos="6946"/>
        </w:tabs>
        <w:spacing w:after="0" w:line="240" w:lineRule="auto"/>
        <w:ind w:firstLine="85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4">
      <w:pPr>
        <w:spacing w:after="0" w:line="240" w:lineRule="auto"/>
        <w:ind w:firstLine="851"/>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Выводы</w:t>
      </w:r>
    </w:p>
    <w:p w:rsidR="00000000" w:rsidDel="00000000" w:rsidP="00000000" w:rsidRDefault="00000000" w:rsidRPr="00000000" w14:paraId="0000007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211"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Величина зазора между корпусом и торцом руля оказывает существенное влияние на подъемную силу, возникающую на руле. При проектировании рулей </w:t>
      </w:r>
      <w:r w:rsidDel="00000000" w:rsidR="00000000" w:rsidRPr="00000000">
        <w:rPr>
          <w:rFonts w:ascii="Times New Roman" w:cs="Times New Roman" w:eastAsia="Times New Roman" w:hAnsi="Times New Roman"/>
          <w:sz w:val="28"/>
          <w:szCs w:val="28"/>
          <w:rtl w:val="0"/>
        </w:rPr>
        <w:t xml:space="preserve">для</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суд</w:t>
      </w:r>
      <w:r w:rsidDel="00000000" w:rsidR="00000000" w:rsidRPr="00000000">
        <w:rPr>
          <w:rFonts w:ascii="Times New Roman" w:cs="Times New Roman" w:eastAsia="Times New Roman" w:hAnsi="Times New Roman"/>
          <w:sz w:val="28"/>
          <w:szCs w:val="28"/>
          <w:rtl w:val="0"/>
        </w:rPr>
        <w:t xml:space="preserve">ов</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и подводных аппарат</w:t>
      </w:r>
      <w:r w:rsidDel="00000000" w:rsidR="00000000" w:rsidRPr="00000000">
        <w:rPr>
          <w:rFonts w:ascii="Times New Roman" w:cs="Times New Roman" w:eastAsia="Times New Roman" w:hAnsi="Times New Roman"/>
          <w:sz w:val="28"/>
          <w:szCs w:val="28"/>
          <w:rtl w:val="0"/>
        </w:rPr>
        <w:t xml:space="preserve">ов</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необходимо учитывать такой зазор и стремиться к его минимизации. </w:t>
      </w:r>
    </w:p>
    <w:p w:rsidR="00000000" w:rsidDel="00000000" w:rsidP="00000000" w:rsidRDefault="00000000" w:rsidRPr="00000000" w14:paraId="0000007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211"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При расположении руля близко к корпусу судна подъемная сила, возникающая на нем, увеличивается. При этом степень увеличения этой силы зависит от величины зазора (между корпусом и торцом руля) и от удлинения руля. В ходе исследований получено, что с уменьшением удлинения руля увеличивается влияние корпуса.</w:t>
      </w:r>
    </w:p>
    <w:p w:rsidR="00000000" w:rsidDel="00000000" w:rsidP="00000000" w:rsidRDefault="00000000" w:rsidRPr="00000000" w14:paraId="000000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211"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Полученная формула для учета влияния корпуса на руль является корректной и может быть использована в ходе проектирования рулей судов и подводных аппаратов.</w:t>
      </w:r>
    </w:p>
    <w:p w:rsidR="00000000" w:rsidDel="00000000" w:rsidP="00000000" w:rsidRDefault="00000000" w:rsidRPr="00000000" w14:paraId="00000078">
      <w:pPr>
        <w:spacing w:after="0" w:line="240" w:lineRule="auto"/>
        <w:ind w:firstLine="85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9">
      <w:pPr>
        <w:spacing w:after="0" w:line="240" w:lineRule="auto"/>
        <w:ind w:firstLine="85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A">
      <w:pPr>
        <w:spacing w:after="0" w:line="240" w:lineRule="auto"/>
        <w:ind w:firstLine="85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B">
      <w:pPr>
        <w:spacing w:after="0" w:line="240" w:lineRule="auto"/>
        <w:ind w:firstLine="851"/>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Литература</w:t>
      </w:r>
    </w:p>
    <w:p w:rsidR="00000000" w:rsidDel="00000000" w:rsidP="00000000" w:rsidRDefault="00000000" w:rsidRPr="00000000" w14:paraId="0000007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924" w:right="0" w:hanging="357"/>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Ермоленко С.Д., Шалькин Н.Д., Чураков Л.Я.</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Атлас гидродинамических характеристик судовых рулей. – Новосибирск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bCs w:val="1"/>
          <w:sz w:val="28"/>
          <w:szCs w:val="28"/>
          <w:rtl w:val="0"/>
        </w:rPr>
        <w:t xml:space="preserve">ИЗДАТЕЛЬСТВ</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?,1961.</w:t>
      </w:r>
    </w:p>
    <w:p w:rsidR="00000000" w:rsidDel="00000000" w:rsidP="00000000" w:rsidRDefault="00000000" w:rsidRPr="00000000" w14:paraId="0000007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924" w:right="0" w:hanging="357"/>
        <w:jc w:val="both"/>
        <w:rPr>
          <w:rFonts w:ascii="Times New Roman" w:cs="Times New Roman" w:eastAsia="Times New Roman" w:hAnsi="Times New Roman"/>
          <w:b w:val="0"/>
          <w:bCs w:val="0"/>
          <w:i w:val="1"/>
          <w:iCs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Кацман Ф.М, Кудреватый Г.М.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Конструирование винто-рулевых комплексов морских судов. – Л.: Судостроение, 1974.</w:t>
      </w:r>
      <w:r w:rsidDel="00000000" w:rsidR="00000000" w:rsidRPr="00000000">
        <w:rPr>
          <w:rtl w:val="0"/>
        </w:rPr>
      </w:r>
    </w:p>
    <w:p w:rsidR="00000000" w:rsidDel="00000000" w:rsidP="00000000" w:rsidRDefault="00000000" w:rsidRPr="00000000" w14:paraId="0000007E">
      <w:pPr>
        <w:numPr>
          <w:ilvl w:val="0"/>
          <w:numId w:val="1"/>
        </w:numPr>
        <w:spacing w:after="0" w:line="240" w:lineRule="auto"/>
        <w:ind w:left="924" w:hanging="35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iCs w:val="1"/>
          <w:sz w:val="28"/>
          <w:szCs w:val="28"/>
          <w:rtl w:val="0"/>
        </w:rPr>
        <w:t xml:space="preserve">Федяевский К.К., Соболев Г.В.</w:t>
      </w:r>
      <w:r w:rsidDel="00000000" w:rsidR="00000000" w:rsidRPr="00000000">
        <w:rPr>
          <w:rFonts w:ascii="Times New Roman" w:cs="Times New Roman" w:eastAsia="Times New Roman" w:hAnsi="Times New Roman"/>
          <w:sz w:val="28"/>
          <w:szCs w:val="28"/>
          <w:rtl w:val="0"/>
        </w:rPr>
        <w:t xml:space="preserve"> Управляемость корабля. – Л.: Судпромгиз, 1963. </w:t>
      </w:r>
    </w:p>
    <w:p w:rsidR="00000000" w:rsidDel="00000000" w:rsidP="00000000" w:rsidRDefault="00000000" w:rsidRPr="00000000" w14:paraId="0000007F">
      <w:pPr>
        <w:numPr>
          <w:ilvl w:val="0"/>
          <w:numId w:val="1"/>
        </w:numPr>
        <w:spacing w:after="0" w:line="240" w:lineRule="auto"/>
        <w:ind w:left="924" w:hanging="35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iCs w:val="1"/>
          <w:sz w:val="28"/>
          <w:szCs w:val="28"/>
          <w:rtl w:val="0"/>
        </w:rPr>
        <w:t xml:space="preserve">Холодилин А.Н.</w:t>
      </w:r>
      <w:r w:rsidDel="00000000" w:rsidR="00000000" w:rsidRPr="00000000">
        <w:rPr>
          <w:rFonts w:ascii="Times New Roman" w:cs="Times New Roman" w:eastAsia="Times New Roman" w:hAnsi="Times New Roman"/>
          <w:sz w:val="28"/>
          <w:szCs w:val="28"/>
          <w:rtl w:val="0"/>
        </w:rPr>
        <w:t xml:space="preserve"> Стабилизация судна на волнении. – Л.: Судостроение, 1973.</w:t>
      </w:r>
    </w:p>
    <w:p w:rsidR="00000000" w:rsidDel="00000000" w:rsidP="00000000" w:rsidRDefault="00000000" w:rsidRPr="00000000" w14:paraId="000000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927"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Edward V. Lewis.</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Principles of Naval Architecture Second Revision.  Motions in Waves and Controllability. – The Society of Naval Architects and Marine Engineers</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Jersey City, </w:t>
      </w:r>
      <w:r w:rsidDel="00000000" w:rsidR="00000000" w:rsidRPr="00000000">
        <w:rPr>
          <w:rFonts w:ascii="Times New Roman" w:cs="Times New Roman" w:eastAsia="Times New Roman" w:hAnsi="Times New Roman"/>
          <w:sz w:val="28"/>
          <w:szCs w:val="28"/>
          <w:rtl w:val="0"/>
        </w:rPr>
        <w:t xml:space="preserve"> 601 Pavonia Avenue,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2003.</w:t>
      </w:r>
      <w:r w:rsidDel="00000000" w:rsidR="00000000" w:rsidRPr="00000000">
        <w:rPr>
          <w:rFonts w:ascii="Times New Roman" w:cs="Times New Roman" w:eastAsia="Times New Roman" w:hAnsi="Times New Roman"/>
          <w:sz w:val="28"/>
          <w:szCs w:val="28"/>
          <w:rtl w:val="0"/>
        </w:rPr>
        <w:t xml:space="preserve"> –Vol. ΙΙΙ.</w:t>
      </w:r>
      <w:r w:rsidDel="00000000" w:rsidR="00000000" w:rsidRPr="00000000">
        <w:rPr>
          <w:rtl w:val="0"/>
        </w:rPr>
      </w:r>
    </w:p>
    <w:p w:rsidR="00000000" w:rsidDel="00000000" w:rsidP="00000000" w:rsidRDefault="00000000" w:rsidRPr="00000000" w14:paraId="0000008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2">
      <w:pPr>
        <w:spacing w:after="0" w:line="240" w:lineRule="auto"/>
        <w:jc w:val="both"/>
        <w:rPr>
          <w:rFonts w:ascii="Times New Roman" w:cs="Times New Roman" w:eastAsia="Times New Roman" w:hAnsi="Times New Roman"/>
          <w:sz w:val="28"/>
          <w:szCs w:val="28"/>
        </w:rPr>
      </w:pPr>
      <w:r w:rsidDel="00000000" w:rsidR="00000000" w:rsidRPr="00000000">
        <w:rPr>
          <w:rtl w:val="0"/>
        </w:rPr>
      </w:r>
    </w:p>
    <w:sectPr>
      <w:footerReference r:id="rId22" w:type="default"/>
      <w:pgSz w:h="16838" w:w="11906" w:orient="portrait"/>
      <w:pgMar w:bottom="1134" w:top="1134" w:left="1418" w:right="85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Gungsuh"/>
  <w:font w:name="Symbol"/>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2">
    <w:lvl w:ilvl="0">
      <w:start w:val="1"/>
      <w:numFmt w:val="decimal"/>
      <w:lvlText w:val="%1."/>
      <w:lvlJc w:val="left"/>
      <w:pPr>
        <w:ind w:left="1211" w:hanging="360"/>
      </w:pPr>
      <w:rPr/>
    </w:lvl>
    <w:lvl w:ilvl="1">
      <w:start w:val="1"/>
      <w:numFmt w:val="lowerLetter"/>
      <w:lvlText w:val="%2."/>
      <w:lvlJc w:val="left"/>
      <w:pPr>
        <w:ind w:left="1931" w:hanging="360"/>
      </w:pPr>
      <w:rPr/>
    </w:lvl>
    <w:lvl w:ilvl="2">
      <w:start w:val="1"/>
      <w:numFmt w:val="lowerRoman"/>
      <w:lvlText w:val="%3."/>
      <w:lvlJc w:val="right"/>
      <w:pPr>
        <w:ind w:left="2651" w:hanging="180"/>
      </w:pPr>
      <w:rPr/>
    </w:lvl>
    <w:lvl w:ilvl="3">
      <w:start w:val="1"/>
      <w:numFmt w:val="decimal"/>
      <w:lvlText w:val="%4."/>
      <w:lvlJc w:val="left"/>
      <w:pPr>
        <w:ind w:left="3371" w:hanging="360"/>
      </w:pPr>
      <w:rPr/>
    </w:lvl>
    <w:lvl w:ilvl="4">
      <w:start w:val="1"/>
      <w:numFmt w:val="lowerLetter"/>
      <w:lvlText w:val="%5."/>
      <w:lvlJc w:val="left"/>
      <w:pPr>
        <w:ind w:left="4091" w:hanging="360"/>
      </w:pPr>
      <w:rPr/>
    </w:lvl>
    <w:lvl w:ilvl="5">
      <w:start w:val="1"/>
      <w:numFmt w:val="lowerRoman"/>
      <w:lvlText w:val="%6."/>
      <w:lvlJc w:val="right"/>
      <w:pPr>
        <w:ind w:left="4811" w:hanging="180"/>
      </w:pPr>
      <w:rPr/>
    </w:lvl>
    <w:lvl w:ilvl="6">
      <w:start w:val="1"/>
      <w:numFmt w:val="decimal"/>
      <w:lvlText w:val="%7."/>
      <w:lvlJc w:val="left"/>
      <w:pPr>
        <w:ind w:left="5531" w:hanging="360"/>
      </w:pPr>
      <w:rPr/>
    </w:lvl>
    <w:lvl w:ilvl="7">
      <w:start w:val="1"/>
      <w:numFmt w:val="lowerLetter"/>
      <w:lvlText w:val="%8."/>
      <w:lvlJc w:val="left"/>
      <w:pPr>
        <w:ind w:left="6251" w:hanging="360"/>
      </w:pPr>
      <w:rPr/>
    </w:lvl>
    <w:lvl w:ilvl="8">
      <w:start w:val="1"/>
      <w:numFmt w:val="lowerRoman"/>
      <w:lvlText w:val="%9."/>
      <w:lvlJc w:val="right"/>
      <w:pPr>
        <w:ind w:left="6971"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u"/>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11" Type="http://schemas.openxmlformats.org/officeDocument/2006/relationships/image" Target="media/image2.png"/><Relationship Id="rId22" Type="http://schemas.openxmlformats.org/officeDocument/2006/relationships/footer" Target="footer1.xml"/><Relationship Id="rId10" Type="http://schemas.openxmlformats.org/officeDocument/2006/relationships/image" Target="media/image9.png"/><Relationship Id="rId21" Type="http://schemas.openxmlformats.org/officeDocument/2006/relationships/image" Target="media/image14.png"/><Relationship Id="rId13" Type="http://schemas.openxmlformats.org/officeDocument/2006/relationships/image" Target="media/image6.jpg"/><Relationship Id="rId12"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8.jpg"/><Relationship Id="rId14" Type="http://schemas.openxmlformats.org/officeDocument/2006/relationships/image" Target="media/image5.jpg"/><Relationship Id="rId17" Type="http://schemas.openxmlformats.org/officeDocument/2006/relationships/image" Target="media/image10.png"/><Relationship Id="rId16" Type="http://schemas.openxmlformats.org/officeDocument/2006/relationships/image" Target="media/image7.jpg"/><Relationship Id="rId5" Type="http://schemas.openxmlformats.org/officeDocument/2006/relationships/styles" Target="styles.xml"/><Relationship Id="rId19" Type="http://schemas.openxmlformats.org/officeDocument/2006/relationships/image" Target="media/image15.jpg"/><Relationship Id="rId6" Type="http://schemas.openxmlformats.org/officeDocument/2006/relationships/customXml" Target="../customXML/item1.xml"/><Relationship Id="rId18" Type="http://schemas.openxmlformats.org/officeDocument/2006/relationships/image" Target="media/image11.jpg"/><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5C4o4jHzeuUxulNTRNvwZiT8Pw==">CgMxLjAaJQoBMBIgCh4IB0IaCg9UaW1lcyBOZXcgUm9tYW4SB0d1bmdzdWgyDmguMWsxcHEyczdjYmV2OAByITF1M0RMQlF0ZUJzVWZLOTBfMzJ6T09nekFlS2dzcXZjRQ==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